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tLeast" w:line="198" w:before="100" w:after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>Проект доклада по вопросу</w:t>
      </w:r>
    </w:p>
    <w:p>
      <w:pPr>
        <w:pStyle w:val="NormalWeb"/>
        <w:spacing w:lineRule="atLeast" w:line="198" w:before="100" w:after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lang w:val="ru-RU"/>
        </w:rPr>
        <w:t xml:space="preserve">«Обеспечение промышленной безопасности на объектах </w:t>
      </w:r>
    </w:p>
    <w:p>
      <w:pPr>
        <w:pStyle w:val="NormalWeb"/>
        <w:spacing w:lineRule="atLeast" w:line="198" w:before="100" w:after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>АО «Калиниградгазификация»</w:t>
      </w:r>
    </w:p>
    <w:p>
      <w:pPr>
        <w:pStyle w:val="NormalWeb"/>
        <w:spacing w:lineRule="atLeast" w:line="198" w:before="100" w:after="0"/>
        <w:jc w:val="center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</w:r>
    </w:p>
    <w:p>
      <w:pPr>
        <w:pStyle w:val="NormalWeb"/>
        <w:spacing w:lineRule="atLeast" w:line="198" w:before="100" w:after="0"/>
        <w:jc w:val="center"/>
        <w:rPr>
          <w:sz w:val="28"/>
          <w:szCs w:val="28"/>
        </w:rPr>
      </w:pPr>
      <w:bookmarkStart w:id="0" w:name="__DdeLink__1405_4188991901"/>
      <w:r>
        <w:rPr>
          <w:b/>
          <w:bCs/>
          <w:i/>
          <w:iCs/>
          <w:color w:val="000000"/>
          <w:sz w:val="28"/>
          <w:szCs w:val="28"/>
          <w:lang w:val="ru-RU"/>
        </w:rPr>
        <w:tab/>
      </w:r>
      <w:bookmarkEnd w:id="0"/>
      <w:r>
        <w:rPr>
          <w:b/>
          <w:bCs/>
          <w:i/>
          <w:iCs/>
          <w:color w:val="FC5C00"/>
          <w:sz w:val="28"/>
          <w:szCs w:val="28"/>
          <w:u w:val="single"/>
          <w:lang w:val="ru-RU"/>
        </w:rPr>
        <w:t>Слайд 1</w:t>
      </w:r>
    </w:p>
    <w:p>
      <w:pPr>
        <w:pStyle w:val="NormalWeb"/>
        <w:spacing w:lineRule="atLeast" w:line="198" w:before="100" w:after="0"/>
        <w:ind w:firstLine="454"/>
        <w:jc w:val="both"/>
        <w:rPr>
          <w:sz w:val="28"/>
          <w:szCs w:val="28"/>
        </w:rPr>
      </w:pPr>
      <w:bookmarkStart w:id="1" w:name="_GoBack"/>
      <w:bookmarkEnd w:id="1"/>
      <w:r>
        <w:rPr>
          <w:color w:val="000000"/>
          <w:sz w:val="28"/>
          <w:szCs w:val="28"/>
          <w:lang w:val="ru-RU"/>
        </w:rPr>
        <w:t xml:space="preserve">Акционерное общество «Калининградгазификация» — специализированная газораспределительная организация, функционирующая на территории Калининградской области с 1949 года. </w:t>
      </w:r>
    </w:p>
    <w:p>
      <w:pPr>
        <w:pStyle w:val="NormalWeb"/>
        <w:spacing w:lineRule="atLeast" w:line="198" w:before="100" w:after="0"/>
        <w:ind w:firstLine="454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Основной вид деятельности —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транспортировка природного и нефтяного (попутного) газа населению, промышленным и коммунально-бытовым предприятиям, реализация потребителям сжиженного и нефтяного (попутного) газа, техническое и аварийное обслуживание сетей газораспределения и газопотребления, проектирование и строительство сетей газоснабжения, изготовление технических устройств и пунктов редуцирования газа.</w:t>
      </w:r>
    </w:p>
    <w:p>
      <w:pPr>
        <w:pStyle w:val="NormalWeb"/>
        <w:spacing w:lineRule="atLeast" w:line="198" w:before="100" w:after="0"/>
        <w:ind w:firstLine="454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На сегодняшний день, на предприятии работает более тысячи сотрудников и Общество имеет в своем составе:</w:t>
      </w:r>
    </w:p>
    <w:p>
      <w:pPr>
        <w:pStyle w:val="NormalWeb"/>
        <w:numPr>
          <w:ilvl w:val="0"/>
          <w:numId w:val="2"/>
        </w:numPr>
        <w:spacing w:lineRule="atLeast" w:line="198" w:before="10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11 эксплуатационных участков газового хозяйства в районах региона</w:t>
      </w:r>
    </w:p>
    <w:p>
      <w:pPr>
        <w:pStyle w:val="NormalWeb"/>
        <w:numPr>
          <w:ilvl w:val="0"/>
          <w:numId w:val="2"/>
        </w:numPr>
        <w:spacing w:lineRule="atLeast" w:line="198" w:before="10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6 </w:t>
      </w:r>
      <w:r>
        <w:rPr>
          <w:color w:val="000000"/>
          <w:sz w:val="28"/>
          <w:szCs w:val="28"/>
        </w:rPr>
        <w:t>управлений</w:t>
      </w:r>
    </w:p>
    <w:p>
      <w:pPr>
        <w:pStyle w:val="NormalWeb"/>
        <w:numPr>
          <w:ilvl w:val="0"/>
          <w:numId w:val="2"/>
        </w:numPr>
        <w:spacing w:lineRule="atLeast" w:line="198" w:before="10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проектно-конструкторское бюро. </w:t>
      </w:r>
    </w:p>
    <w:p>
      <w:pPr>
        <w:pStyle w:val="NormalWeb"/>
        <w:spacing w:lineRule="atLeast" w:line="198" w:before="100" w:after="0"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</w:p>
    <w:p>
      <w:pPr>
        <w:pStyle w:val="Normal"/>
        <w:widowControl/>
        <w:tabs>
          <w:tab w:val="clear" w:pos="706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val="ru-RU"/>
        </w:rPr>
        <w:t>Общество осуществляет следующие виды деятельности, подлежащие лицензированию в установленном законом порядке:</w:t>
      </w:r>
    </w:p>
    <w:p>
      <w:pPr>
        <w:pStyle w:val="Standard"/>
        <w:tabs>
          <w:tab w:val="clear" w:pos="706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— </w:t>
      </w:r>
      <w:r>
        <w:rPr>
          <w:rFonts w:cs="Times New Roman"/>
          <w:color w:val="000000"/>
          <w:sz w:val="28"/>
          <w:szCs w:val="28"/>
          <w:lang w:val="ru-RU"/>
        </w:rPr>
        <w:t xml:space="preserve">«Эксплуатация взрывопожароопасных и химически опасных производственных объектов </w:t>
      </w:r>
      <w:r>
        <w:rPr>
          <w:rFonts w:cs="Times New Roman"/>
          <w:color w:val="000000"/>
          <w:sz w:val="28"/>
          <w:szCs w:val="28"/>
        </w:rPr>
        <w:t>II</w:t>
      </w:r>
      <w:r>
        <w:rPr>
          <w:rFonts w:cs="Times New Roman"/>
          <w:color w:val="000000"/>
          <w:sz w:val="28"/>
          <w:szCs w:val="28"/>
          <w:lang w:val="ru-RU"/>
        </w:rPr>
        <w:t xml:space="preserve">, </w:t>
      </w:r>
      <w:r>
        <w:rPr>
          <w:rFonts w:cs="Times New Roman"/>
          <w:color w:val="000000"/>
          <w:sz w:val="28"/>
          <w:szCs w:val="28"/>
        </w:rPr>
        <w:t>III</w:t>
      </w:r>
      <w:r>
        <w:rPr>
          <w:rFonts w:cs="Times New Roman"/>
          <w:color w:val="000000"/>
          <w:sz w:val="28"/>
          <w:szCs w:val="28"/>
          <w:lang w:val="ru-RU"/>
        </w:rPr>
        <w:t xml:space="preserve"> классов опасности».</w:t>
      </w:r>
    </w:p>
    <w:p>
      <w:pPr>
        <w:pStyle w:val="Standard"/>
        <w:tabs>
          <w:tab w:val="clear" w:pos="706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Лицензия от 30.10.2014г. № ВХ-00-015072 получена Обществом  в установленном законом порядке.                </w:t>
      </w:r>
    </w:p>
    <w:p>
      <w:pPr>
        <w:pStyle w:val="Standard"/>
        <w:tabs>
          <w:tab w:val="clear" w:pos="706"/>
          <w:tab w:val="left" w:pos="0" w:leader="none"/>
        </w:tabs>
        <w:spacing w:lineRule="auto" w:line="240" w:before="100" w:after="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— </w:t>
      </w:r>
      <w:r>
        <w:rPr>
          <w:rFonts w:cs="Times New Roman"/>
          <w:color w:val="000000"/>
          <w:sz w:val="28"/>
          <w:szCs w:val="28"/>
          <w:lang w:val="ru-RU"/>
        </w:rPr>
        <w:t>«Осуществление погрузочно-разгрузочной деятельности применительно к опасным грузам на железнодорожном транспорте», лицензия ПРД № 3905470 от 19.07.2010г.</w:t>
      </w:r>
    </w:p>
    <w:p>
      <w:pPr>
        <w:pStyle w:val="NormalWeb"/>
        <w:spacing w:lineRule="atLeast" w:line="198" w:before="100" w:after="0"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</w:p>
    <w:p>
      <w:pPr>
        <w:pStyle w:val="NormalWeb"/>
        <w:spacing w:lineRule="atLeast" w:line="198" w:before="100" w:after="0"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</w:p>
    <w:p>
      <w:pPr>
        <w:pStyle w:val="NormalWeb"/>
        <w:spacing w:lineRule="atLeast" w:line="198" w:before="100" w:after="0"/>
        <w:ind w:firstLine="454"/>
        <w:jc w:val="center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ab/>
      </w:r>
      <w:r>
        <w:rPr>
          <w:b/>
          <w:bCs/>
          <w:i/>
          <w:iCs/>
          <w:color w:val="C9211E"/>
          <w:sz w:val="28"/>
          <w:szCs w:val="28"/>
          <w:u w:val="single"/>
          <w:lang w:val="ru-RU"/>
        </w:rPr>
        <w:t>Слайд 2, 3</w:t>
      </w:r>
    </w:p>
    <w:p>
      <w:pPr>
        <w:pStyle w:val="Normal"/>
        <w:spacing w:lineRule="atLeast" w:line="198" w:before="10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Начиная с 2009 года, предприятие успешно применяет следующие современные технологии при эксплуатации сетей газораспределения:</w:t>
      </w:r>
    </w:p>
    <w:p>
      <w:pPr>
        <w:pStyle w:val="NormalWeb"/>
        <w:spacing w:lineRule="atLeast" w:line="198" w:before="10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—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применение технологии Stadtler+beck при реконструкции и ремонте стальных газопроводов под избыточным давлением газа — внедрение системы мониторинга узлов редуцирования газа ПРГ на основе диагностического комплекса PLEXOR компании Kamstrup (Нидерланды)</w:t>
      </w:r>
    </w:p>
    <w:p>
      <w:pPr>
        <w:pStyle w:val="NormalWeb"/>
        <w:spacing w:lineRule="atLeast" w:line="198" w:before="10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tLeast" w:line="198" w:before="10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 xml:space="preserve">  </w:t>
      </w:r>
    </w:p>
    <w:p>
      <w:pPr>
        <w:pStyle w:val="NormalWeb"/>
        <w:widowControl/>
        <w:spacing w:lineRule="atLeast" w:line="198" w:before="100" w:after="0"/>
        <w:ind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— </w:t>
      </w:r>
      <w:r>
        <w:rPr>
          <w:color w:val="000000"/>
          <w:sz w:val="28"/>
          <w:szCs w:val="28"/>
          <w:lang w:val="ru-RU"/>
        </w:rPr>
        <w:t>применение комбинированных ветроэнергетических установок и солнечных панелей для энергоснабжения систем телеметрии на ШРП, для уличного освещения производственных баз эксплуатационных участков.</w:t>
      </w:r>
    </w:p>
    <w:p>
      <w:pPr>
        <w:pStyle w:val="NormalWeb"/>
        <w:widowControl/>
        <w:spacing w:lineRule="atLeast" w:line="198" w:before="100" w:after="0"/>
        <w:ind w:hanging="0"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</w:p>
    <w:p>
      <w:pPr>
        <w:pStyle w:val="NormalWeb"/>
        <w:widowControl/>
        <w:spacing w:lineRule="atLeast" w:line="198" w:before="100" w:after="0"/>
        <w:ind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 xml:space="preserve">С 2024 года производственный потенциал Общества повысился благодаря </w:t>
      </w:r>
    </w:p>
    <w:p>
      <w:pPr>
        <w:pStyle w:val="NormalWeb"/>
        <w:widowControl/>
        <w:spacing w:lineRule="atLeast" w:line="198" w:before="100" w:after="0"/>
        <w:ind w:hanging="0"/>
        <w:jc w:val="both"/>
        <w:rPr/>
      </w:pPr>
      <w:r>
        <w:rPr>
          <w:color w:val="000000"/>
          <w:sz w:val="28"/>
          <w:szCs w:val="28"/>
          <w:lang w:val="ru-RU"/>
        </w:rPr>
        <w:t xml:space="preserve">— </w:t>
      </w:r>
      <w:r>
        <w:rPr>
          <w:color w:val="000000"/>
          <w:sz w:val="28"/>
          <w:szCs w:val="28"/>
          <w:lang w:val="ru-RU"/>
        </w:rPr>
        <w:t xml:space="preserve">использованию специального </w:t>
      </w:r>
      <w:r>
        <w:rPr>
          <w:rStyle w:val="Strong"/>
          <w:b w:val="false"/>
          <w:color w:val="000000"/>
          <w:sz w:val="28"/>
          <w:szCs w:val="28"/>
          <w:lang w:val="ru-RU"/>
        </w:rPr>
        <w:t xml:space="preserve">оборудования для врезки и двухстороннего перекрытия полиэтиленовых газопроводов Дн 225мм под давлением до 10 бар </w:t>
      </w:r>
      <w:r>
        <w:rPr>
          <w:rStyle w:val="Strong"/>
          <w:b w:val="false"/>
          <w:color w:val="000000"/>
          <w:sz w:val="28"/>
          <w:szCs w:val="28"/>
          <w:lang w:val="en-US"/>
        </w:rPr>
        <w:t>POLYSTOPP.</w:t>
      </w:r>
    </w:p>
    <w:p>
      <w:pPr>
        <w:pStyle w:val="NormalWeb"/>
        <w:widowControl/>
        <w:spacing w:lineRule="atLeast" w:line="198" w:before="100" w:after="0"/>
        <w:ind w:hanging="0"/>
        <w:jc w:val="both"/>
        <w:rPr/>
      </w:pPr>
      <w:r>
        <w:rPr>
          <w:rStyle w:val="Strong"/>
          <w:b w:val="false"/>
          <w:color w:val="000000"/>
          <w:sz w:val="28"/>
          <w:szCs w:val="28"/>
          <w:lang w:val="en-US"/>
        </w:rPr>
        <w:tab/>
      </w:r>
    </w:p>
    <w:p>
      <w:pPr>
        <w:pStyle w:val="NormalWeb"/>
        <w:widowControl/>
        <w:spacing w:lineRule="atLeast" w:line="198" w:before="100" w:after="0"/>
        <w:ind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— </w:t>
      </w:r>
      <w:r>
        <w:rPr>
          <w:color w:val="000000"/>
          <w:sz w:val="28"/>
          <w:szCs w:val="28"/>
          <w:lang w:val="ru-RU"/>
        </w:rPr>
        <w:t xml:space="preserve">применению специального оборудования ООО НПП «ТехСистема» для перекрытия стальных газопроводов  и  производства  всех видов работ без необходимости снижения давления и нарушения транспортировки среды. </w:t>
      </w:r>
    </w:p>
    <w:p>
      <w:pPr>
        <w:pStyle w:val="NormalWeb"/>
        <w:widowControl/>
        <w:spacing w:lineRule="atLeast" w:line="198" w:before="100" w:after="0"/>
        <w:ind w:hanging="0"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</w:p>
    <w:p>
      <w:pPr>
        <w:pStyle w:val="NormalWeb"/>
        <w:widowControl/>
        <w:spacing w:lineRule="atLeast" w:line="198" w:before="100" w:after="0"/>
        <w:ind w:hanging="0"/>
        <w:jc w:val="both"/>
        <w:rPr/>
      </w:pPr>
      <w:r>
        <w:rPr>
          <w:rStyle w:val="Strong"/>
          <w:b w:val="false"/>
          <w:color w:val="000000"/>
          <w:sz w:val="28"/>
          <w:szCs w:val="28"/>
          <w:lang w:val="ru-RU"/>
        </w:rPr>
        <w:tab/>
        <w:t xml:space="preserve">Данные инновационные системы для быстрого и безопасного перекрытия  трубопроводов, позволяют осуществлять производство работ без остановки газоснабжения потребителей или с минимальными ограничениями,    при этом существенно сокращая время производства ремонтных работ, а также работ по технологическому присоединению к газораспределительной сети вновь построенных полиэтиленовых и стальных газопроводов, снижая риск повреждения газопроводов, минимизируя трудозатраты. </w:t>
      </w:r>
    </w:p>
    <w:p>
      <w:pPr>
        <w:pStyle w:val="NormalWeb"/>
        <w:widowControl/>
        <w:spacing w:lineRule="atLeast" w:line="198" w:before="100" w:after="0"/>
        <w:ind w:hanging="0"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</w:p>
    <w:p>
      <w:pPr>
        <w:pStyle w:val="NormalWeb"/>
        <w:spacing w:lineRule="atLeast" w:line="198" w:before="100" w:after="0"/>
        <w:ind w:firstLine="454"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</w:p>
    <w:p>
      <w:pPr>
        <w:pStyle w:val="NormalWeb"/>
        <w:widowControl/>
        <w:suppressAutoHyphens w:val="true"/>
        <w:bidi w:val="0"/>
        <w:spacing w:lineRule="atLeast" w:line="198" w:before="100" w:after="0"/>
        <w:ind w:firstLine="454"/>
        <w:jc w:val="center"/>
        <w:textAlignment w:val="baseline"/>
        <w:rPr>
          <w:rFonts w:ascii="Times New Roman" w:hAnsi="Times New Roman"/>
          <w:b/>
          <w:bCs/>
          <w:i/>
          <w:i/>
          <w:iCs/>
          <w:color w:val="C9211E"/>
          <w:kern w:val="0"/>
          <w:sz w:val="28"/>
          <w:szCs w:val="28"/>
          <w:u w:val="single"/>
          <w:lang w:val="ru-RU" w:eastAsia="en-US" w:bidi="en-US"/>
        </w:rPr>
      </w:pPr>
      <w:r>
        <w:rPr>
          <w:b/>
          <w:bCs/>
          <w:i/>
          <w:iCs/>
          <w:color w:val="C9211E"/>
          <w:kern w:val="0"/>
          <w:sz w:val="28"/>
          <w:szCs w:val="28"/>
          <w:u w:val="single"/>
          <w:lang w:val="ru-RU" w:eastAsia="en-US" w:bidi="en-US"/>
        </w:rPr>
        <w:t>Слайд 4,5</w:t>
      </w:r>
    </w:p>
    <w:p>
      <w:pPr>
        <w:pStyle w:val="NormalWeb"/>
        <w:spacing w:lineRule="atLeast" w:line="198" w:before="100" w:after="0"/>
        <w:ind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lang w:val="ru-RU" w:eastAsia="zxx" w:bidi="ar-SA"/>
        </w:rPr>
        <w:tab/>
        <w:t>Развитие системы телеметрии АО «Калининградгазификация» было положено в 2005 году на газорегуляторных пунктах с использованием оборудования литовского производителя «Элсис». С 2011 года, в связи со значительным удорожанием контроллеров и отказом в предоставлении кода для их программирования, Общество сотрудничало с компанией ООО «ИндаСофт», а  развитие системы осуществлялось на базе контроллеров «MOSCAD». С целью импортозамещ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lang w:val="en-US" w:eastAsia="zxx" w:bidi="ar-SA"/>
        </w:rPr>
        <w:t>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lang w:val="ru-RU" w:eastAsia="zxx" w:bidi="ar-SA"/>
        </w:rPr>
        <w:t>, начиная с 2017 года, в системе начали применяться контроллеры отечественного производства «ТМТ-ТМ» ООО «ТехноПром» (г. Иваново).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lang w:val="ru-RU" w:eastAsia="zxx" w:bidi="ar-SA"/>
        </w:rPr>
        <w:tab/>
        <w:t>По состоянию на август 2026 года на центральный пункт аварийно-диспетчерской службы (АДС) Общества поступают данные с 211 контролируемых пунктов редуцирования газа. Часть объектов оснащена дополнительными модулями с солнечными панелями для увеличения времени их автономной работы.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lang w:val="ru-RU" w:eastAsia="zxx" w:bidi="ar-SA"/>
        </w:rPr>
        <w:tab/>
        <w:t>Система телеметрии обеспечивает дистанционный контроль параметров непосредственно влияющих на безопасную эксплуатацию ПРГ: давления газа на входе и выходе, положения предохранительно-запорных клапанов (ПЗК), а также состояния систем контроля загазованности и пожарной сигнализации. Опрос основных технологических параметров производится каждые 10–15 минут. При достижении установленных предельных значений, а также при срабатывании систем загазованности и пожарной сигнализации, соответствующий аварийный сигнал автоматически и незамедлительно передается на центральный пункт АДС.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lang w:val="ru-RU" w:eastAsia="zxx" w:bidi="ar-SA"/>
        </w:rPr>
        <w:tab/>
        <w:t xml:space="preserve">В совокупности указанные функции позволяют обеспечить своевременное выявление опасных отклонений в работе оборудования, возникновения аварийных ситуаций и, как следствие, мгновенное реагирование на внештатные ситуации, что имеет непосредственное значение для обеспечения промышленной безопасности. Дистанционный монтиринг позволяет контролировать основные параметры технологического процесса, а получение сигналов о загазованности и пожаре обеспечивает оперативное информирование персонала о возникновении угрозы. 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single"/>
          <w:lang w:val="ru-RU" w:eastAsia="zxx" w:bidi="ar-SA"/>
        </w:rPr>
        <w:tab/>
        <w:t>Всё вышеуказанное позволяет своевременно выявлять предпосылки к возникновению аварий и минимизировать время реагирования персонала АДС, что, в свою очередь, снижает вероятность развития нештатной ситуации и тяжесть её возможных последствий.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lang w:val="ru-RU" w:eastAsia="zxx" w:bidi="ar-SA"/>
        </w:rPr>
      </w:r>
    </w:p>
    <w:p>
      <w:pPr>
        <w:pStyle w:val="NormalWeb"/>
        <w:widowControl/>
        <w:suppressAutoHyphens w:val="true"/>
        <w:bidi w:val="0"/>
        <w:spacing w:lineRule="atLeast" w:line="198" w:before="100" w:after="0"/>
        <w:ind w:firstLine="454"/>
        <w:jc w:val="center"/>
        <w:textAlignment w:val="baseline"/>
        <w:rPr/>
      </w:pPr>
      <w:r>
        <w:rPr>
          <w:b/>
          <w:bCs/>
          <w:i/>
          <w:iCs/>
          <w:color w:val="C9211E"/>
          <w:kern w:val="0"/>
          <w:sz w:val="28"/>
          <w:szCs w:val="28"/>
          <w:u w:val="single"/>
          <w:lang w:val="ru-RU" w:eastAsia="en-US" w:bidi="en-US"/>
        </w:rPr>
        <w:t>Слайд 6</w:t>
      </w:r>
    </w:p>
    <w:p>
      <w:pPr>
        <w:pStyle w:val="NormalWeb"/>
        <w:spacing w:lineRule="atLeast" w:line="198" w:before="100" w:after="0"/>
        <w:ind w:firstLine="454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Деятельность </w:t>
      </w:r>
      <w:r>
        <w:rPr>
          <w:sz w:val="28"/>
          <w:szCs w:val="28"/>
        </w:rPr>
        <w:t xml:space="preserve">современного предприятия не возможна без применения цифровых технологий. </w:t>
      </w:r>
      <w:r>
        <w:rPr>
          <w:sz w:val="28"/>
          <w:szCs w:val="28"/>
          <w:lang w:val="ru-RU"/>
        </w:rPr>
        <w:t>АО «Калининградгазификация» активно осуществляет работу</w:t>
      </w:r>
      <w:r>
        <w:rPr>
          <w:sz w:val="28"/>
          <w:szCs w:val="28"/>
        </w:rPr>
        <w:t xml:space="preserve"> в сфере геоинформационных систем (далее ГИС), а именно  сбор, </w:t>
      </w:r>
      <w:r>
        <w:rPr>
          <w:sz w:val="28"/>
          <w:szCs w:val="28"/>
          <w:lang w:val="ru-RU"/>
        </w:rPr>
        <w:t>хранение</w:t>
      </w:r>
      <w:r>
        <w:rPr>
          <w:sz w:val="28"/>
          <w:szCs w:val="28"/>
        </w:rPr>
        <w:t xml:space="preserve">, анализ данных и графической визуализации пространственных данных.    </w:t>
      </w:r>
      <w:r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</w:rPr>
        <w:t xml:space="preserve">качестве ГИС </w:t>
      </w:r>
      <w:r>
        <w:rPr>
          <w:sz w:val="28"/>
          <w:szCs w:val="28"/>
          <w:lang w:val="ru-RU"/>
        </w:rPr>
        <w:t xml:space="preserve">Общество в настоящее время </w:t>
      </w:r>
      <w:r>
        <w:rPr>
          <w:sz w:val="28"/>
          <w:szCs w:val="28"/>
        </w:rPr>
        <w:t>использует программу российских разработчиков - ZuluGIS.</w:t>
      </w:r>
    </w:p>
    <w:p>
      <w:pPr>
        <w:pStyle w:val="Standard"/>
        <w:bidi w:val="0"/>
        <w:ind w:hanging="0" w:left="0" w:right="0"/>
        <w:rPr>
          <w:sz w:val="28"/>
          <w:szCs w:val="28"/>
        </w:rPr>
      </w:pPr>
      <w:r>
        <w:rPr>
          <w:sz w:val="28"/>
          <w:szCs w:val="28"/>
          <w:lang w:val="ru-RU"/>
        </w:rPr>
        <w:t>Данная программа внедрена на предприятии  с 2026 года, что позволяет</w:t>
      </w:r>
      <w:r>
        <w:rPr>
          <w:sz w:val="28"/>
          <w:szCs w:val="28"/>
        </w:rPr>
        <w:t>:</w:t>
      </w:r>
    </w:p>
    <w:p>
      <w:pPr>
        <w:pStyle w:val="Standard"/>
        <w:bidi w:val="0"/>
        <w:ind w:hanging="0" w:left="0" w:right="0"/>
        <w:rPr>
          <w:sz w:val="28"/>
          <w:szCs w:val="28"/>
        </w:rPr>
      </w:pPr>
      <w:r>
        <w:rPr>
          <w:sz w:val="28"/>
          <w:szCs w:val="28"/>
        </w:rPr>
        <w:t>- своевременно обновлять программное обеспечение,</w:t>
      </w:r>
    </w:p>
    <w:p>
      <w:pPr>
        <w:pStyle w:val="Standard"/>
        <w:bidi w:val="0"/>
        <w:ind w:hanging="0" w:left="0" w:right="0"/>
        <w:rPr>
          <w:sz w:val="28"/>
          <w:szCs w:val="28"/>
        </w:rPr>
      </w:pPr>
      <w:r>
        <w:rPr>
          <w:sz w:val="28"/>
          <w:szCs w:val="28"/>
        </w:rPr>
        <w:t>- осуществлять экспорт и импорт данных,</w:t>
      </w:r>
    </w:p>
    <w:p>
      <w:pPr>
        <w:pStyle w:val="Standard"/>
        <w:bidi w:val="0"/>
        <w:ind w:hanging="0" w:left="0" w:right="0"/>
        <w:rPr>
          <w:sz w:val="28"/>
          <w:szCs w:val="28"/>
        </w:rPr>
      </w:pPr>
      <w:r>
        <w:rPr>
          <w:sz w:val="28"/>
          <w:szCs w:val="28"/>
        </w:rPr>
        <w:t>- создавать различные тематические карты, включая схемы инженерных сетей,</w:t>
      </w:r>
    </w:p>
    <w:p>
      <w:pPr>
        <w:pStyle w:val="Standard"/>
        <w:bidi w:val="0"/>
        <w:ind w:hanging="0" w:left="0" w:right="0"/>
        <w:rPr>
          <w:sz w:val="28"/>
          <w:szCs w:val="28"/>
        </w:rPr>
      </w:pPr>
      <w:r>
        <w:rPr>
          <w:sz w:val="28"/>
          <w:szCs w:val="28"/>
        </w:rPr>
        <w:t>- формировать собственную структуры данных, в частности свои слои, условные обозначения, таблицы с атрибутами, справочники, шаблоны отчетов,</w:t>
      </w:r>
    </w:p>
    <w:p>
      <w:pPr>
        <w:pStyle w:val="Standard"/>
        <w:bidi w:val="0"/>
        <w:ind w:hanging="0" w:left="0" w:right="0"/>
        <w:rPr>
          <w:sz w:val="28"/>
          <w:szCs w:val="28"/>
        </w:rPr>
      </w:pPr>
      <w:r>
        <w:rPr>
          <w:sz w:val="28"/>
          <w:szCs w:val="28"/>
        </w:rPr>
        <w:t>- использовать данные картографических веб-сервисов,</w:t>
      </w:r>
    </w:p>
    <w:p>
      <w:pPr>
        <w:pStyle w:val="Standard"/>
        <w:bidi w:val="0"/>
        <w:ind w:hanging="0" w:left="0" w:right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выполнять </w:t>
      </w:r>
      <w:r>
        <w:rPr>
          <w:sz w:val="28"/>
          <w:szCs w:val="28"/>
        </w:rPr>
        <w:t>гидравлически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расчет</w:t>
      </w:r>
      <w:r>
        <w:rPr>
          <w:sz w:val="28"/>
          <w:szCs w:val="28"/>
          <w:lang w:val="ru-RU"/>
        </w:rPr>
        <w:t>ы</w:t>
      </w:r>
      <w:r>
        <w:rPr>
          <w:sz w:val="28"/>
          <w:szCs w:val="28"/>
        </w:rPr>
        <w:t xml:space="preserve"> инженерных коммуникаций.</w:t>
      </w:r>
    </w:p>
    <w:p>
      <w:pPr>
        <w:pStyle w:val="NormalWeb"/>
        <w:bidi w:val="0"/>
        <w:spacing w:lineRule="atLeast" w:line="198" w:before="100" w:after="0"/>
        <w:ind w:firstLine="454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Верное отображение и своевременное обновление информации - основное условие корректной работы всех подразделений ГРО, в том числе при планировании и осуществлении всех видов газоопасных работ.  </w:t>
      </w:r>
    </w:p>
    <w:p>
      <w:pPr>
        <w:pStyle w:val="NormalWeb"/>
        <w:widowControl/>
        <w:suppressAutoHyphens w:val="true"/>
        <w:bidi w:val="0"/>
        <w:spacing w:lineRule="atLeast" w:line="198" w:before="100" w:after="0"/>
        <w:ind w:firstLine="454"/>
        <w:jc w:val="center"/>
        <w:textAlignment w:val="baseline"/>
        <w:rPr>
          <w:rFonts w:ascii="Times New Roman" w:hAnsi="Times New Roman"/>
          <w:b/>
          <w:bCs/>
          <w:i/>
          <w:i/>
          <w:iCs/>
          <w:color w:val="C9211E"/>
          <w:kern w:val="0"/>
          <w:sz w:val="28"/>
          <w:szCs w:val="28"/>
          <w:u w:val="single"/>
          <w:lang w:val="ru-RU" w:eastAsia="en-US" w:bidi="en-US"/>
        </w:rPr>
      </w:pPr>
      <w:r>
        <w:rPr>
          <w:b/>
          <w:bCs/>
          <w:i/>
          <w:iCs/>
          <w:color w:val="C9211E"/>
          <w:kern w:val="0"/>
          <w:sz w:val="28"/>
          <w:szCs w:val="28"/>
          <w:u w:val="single"/>
          <w:lang w:val="ru-RU" w:eastAsia="en-US" w:bidi="en-US"/>
        </w:rPr>
        <w:tab/>
        <w:t>Слайд 7</w:t>
      </w:r>
    </w:p>
    <w:p>
      <w:pPr>
        <w:pStyle w:val="NormalWeb"/>
        <w:widowControl/>
        <w:spacing w:lineRule="atLeast" w:line="198" w:before="10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shd w:fill="auto" w:val="clear"/>
          <w:lang w:val="ru-RU"/>
        </w:rPr>
        <w:t xml:space="preserve">С 2012 года в АО «Калининградгазификация» создано и функционирует нештатное аварийно-спасательное формирование, аттестованное на </w:t>
      </w:r>
      <w:bookmarkStart w:id="2" w:name="__DdeLink__335_835901859"/>
      <w:bookmarkEnd w:id="2"/>
      <w:r>
        <w:rPr>
          <w:color w:val="000000"/>
          <w:sz w:val="28"/>
          <w:szCs w:val="28"/>
          <w:shd w:fill="auto" w:val="clear"/>
          <w:lang w:val="ru-RU"/>
        </w:rPr>
        <w:t xml:space="preserve">право ведения газоспасательных работ и поисково-спасательных работ. </w:t>
      </w:r>
    </w:p>
    <w:p>
      <w:pPr>
        <w:pStyle w:val="NormalWeb"/>
        <w:widowControl/>
        <w:spacing w:lineRule="atLeast" w:line="198" w:before="10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fill="auto" w:val="clear"/>
          <w:lang w:val="ru-RU"/>
        </w:rPr>
        <w:tab/>
        <w:t xml:space="preserve">В 2013 году организовано профессиональное аварийно-спасательное формирование на право ведения газоспасательных работ и поисково-спасательных работ. </w:t>
      </w:r>
    </w:p>
    <w:p>
      <w:pPr>
        <w:pStyle w:val="NormalWeb"/>
        <w:widowControl/>
        <w:spacing w:lineRule="atLeast" w:line="198" w:before="100" w:after="0"/>
        <w:jc w:val="both"/>
        <w:rPr/>
      </w:pPr>
      <w:r>
        <w:rPr>
          <w:rFonts w:eastAsia="SimSun;宋体" w:cs="Mangal;Liberation Mono"/>
          <w:color w:val="000000"/>
          <w:sz w:val="28"/>
          <w:szCs w:val="28"/>
          <w:shd w:fill="auto" w:val="clear"/>
          <w:lang w:val="ru-RU"/>
        </w:rPr>
        <w:t xml:space="preserve">   </w:t>
      </w:r>
      <w:r>
        <w:rPr>
          <w:rFonts w:eastAsia="SimSun;宋体" w:cs="Mangal;Liberation Mono"/>
          <w:color w:val="000000"/>
          <w:sz w:val="28"/>
          <w:szCs w:val="28"/>
          <w:shd w:fill="auto" w:val="clear"/>
          <w:lang w:val="ru-RU"/>
        </w:rPr>
        <w:tab/>
        <w:t>Данные ф</w:t>
      </w:r>
      <w:r>
        <w:rPr>
          <w:rStyle w:val="Strong"/>
          <w:rFonts w:eastAsia="SimSun;宋体" w:cs="Mangal;Liberation Mono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/>
        </w:rPr>
        <w:t xml:space="preserve">ормирования соответствуют установленным требованиям и готовы качественно выполнять возложенные на них задачи. </w:t>
      </w:r>
    </w:p>
    <w:p>
      <w:pPr>
        <w:pStyle w:val="NormalWeb"/>
        <w:widowControl/>
        <w:spacing w:lineRule="atLeast" w:line="198" w:before="100" w:after="0"/>
        <w:jc w:val="both"/>
        <w:rPr>
          <w:rStyle w:val="Strong"/>
          <w:rFonts w:eastAsia="SimSun;宋体" w:cs="Mangal;Liberation Mono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/>
        </w:rPr>
      </w:pPr>
      <w:r>
        <w:rPr>
          <w:rFonts w:eastAsia="SimSun;宋体" w:cs="Mangal;Liberation Mono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/>
        </w:rPr>
      </w:r>
    </w:p>
    <w:p>
      <w:pPr>
        <w:pStyle w:val="BodyText"/>
        <w:widowControl/>
        <w:tabs>
          <w:tab w:val="clear" w:pos="706"/>
          <w:tab w:val="left" w:pos="567" w:leader="none"/>
        </w:tabs>
        <w:suppressAutoHyphens w:val="false"/>
        <w:bidi w:val="0"/>
        <w:spacing w:lineRule="atLeast" w:line="198" w:before="0" w:after="0"/>
        <w:ind w:hanging="0"/>
        <w:jc w:val="both"/>
        <w:textAlignment w:val="baseline"/>
        <w:rPr/>
      </w:pPr>
      <w:r>
        <w:rPr>
          <w:rStyle w:val="Strong"/>
          <w:rFonts w:eastAsia="Andale Sans UI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en-US" w:bidi="en-US"/>
        </w:rPr>
        <w:tab/>
        <w:t>04.08.2026г. Обществом выполнена периодическая разработка и утверждение  Плана мероприятий по локализации, ликвидации последствий аварийных ситуаций на сетях газораспределения, газопотребления, в том числе на объектах, использующих СУГ.</w:t>
      </w:r>
    </w:p>
    <w:p>
      <w:pPr>
        <w:pStyle w:val="Standard"/>
        <w:tabs>
          <w:tab w:val="clear" w:pos="706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/>
        </w:rPr>
        <w:tab/>
      </w:r>
    </w:p>
    <w:p>
      <w:pPr>
        <w:pStyle w:val="BodyText"/>
        <w:widowControl/>
        <w:tabs>
          <w:tab w:val="clear" w:pos="706"/>
          <w:tab w:val="left" w:pos="567" w:leader="none"/>
        </w:tabs>
        <w:suppressAutoHyphens w:val="false"/>
        <w:bidi w:val="0"/>
        <w:spacing w:lineRule="auto" w:line="240" w:before="0" w:after="0"/>
        <w:ind w:hanging="0"/>
        <w:jc w:val="both"/>
        <w:textAlignment w:val="baseline"/>
        <w:rPr/>
      </w:pPr>
      <w:r>
        <w:rPr>
          <w:rStyle w:val="Strong"/>
          <w:rFonts w:eastAsia="Andale Sans UI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en-US" w:bidi="en-US"/>
        </w:rPr>
        <w:tab/>
        <w:tab/>
        <w:t>13.03.2026г.  Акционерным обществом «Страховое общество газовой промышленности» (АО «Согаз») заключен с Обществом договор об организации осуществления обязательного страхования гражданской ответственности владельца опасного объекта за причинение вреда в результате аварии на ОПО №07/17-1720-2026/3 от 13.03.2026г. Договор заключен в отношении 38 опасных производственных объектов.</w:t>
      </w:r>
    </w:p>
    <w:p>
      <w:pPr>
        <w:pStyle w:val="BodyText"/>
        <w:widowControl/>
        <w:tabs>
          <w:tab w:val="clear" w:pos="706"/>
          <w:tab w:val="left" w:pos="567" w:leader="none"/>
        </w:tabs>
        <w:suppressAutoHyphens w:val="false"/>
        <w:bidi w:val="0"/>
        <w:spacing w:lineRule="auto" w:line="240" w:before="0" w:after="0"/>
        <w:ind w:hang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sz w:val="28"/>
          <w:szCs w:val="28"/>
        </w:rPr>
      </w:pPr>
      <w:r>
        <w:rPr>
          <w:rFonts w:eastAsia="Andale Sans UI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  <w:tab/>
        <w:t>Для повышения безопасности при эксплуатации АО «Калининградгазификация» осуществляет производственный контроль в соответствии с утвержденным в установленном порядке «Положением о производственном контроле за соблюдением требований промышленной безопасности на ОПО» Общества от 06.02.2026г.</w:t>
      </w:r>
    </w:p>
    <w:p>
      <w:pPr>
        <w:pStyle w:val="BodyText"/>
        <w:widowControl/>
        <w:tabs>
          <w:tab w:val="clear" w:pos="706"/>
          <w:tab w:val="left" w:pos="567" w:leader="none"/>
        </w:tabs>
        <w:suppressAutoHyphens w:val="false"/>
        <w:bidi w:val="0"/>
        <w:spacing w:before="0" w:after="0"/>
        <w:ind w:hanging="0"/>
        <w:jc w:val="both"/>
        <w:textAlignment w:val="baseline"/>
        <w:rPr>
          <w:sz w:val="28"/>
          <w:szCs w:val="28"/>
        </w:rPr>
      </w:pPr>
      <w:r>
        <w:rPr>
          <w:rFonts w:eastAsia="Andale Sans UI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  <w:tab/>
        <w:t xml:space="preserve">В период с 2025 по 2026 г.г. отделом производственного и внутреннего контроля проведены 79 проверок в части соблюдения требований промышленной безопасности при эксплуатации объектов магистрального трубопроводного транспорта, сетей газораспределения и газопотребления II, III классов опасности, проверки оснащенности и работоспособности аварийных бригад Общества, проверки организации и качества выполнения газоопасных работ. Проведен анализ состояния промышленной безопасности в АО «Калининградгазификация» за 2025г, проанализированы результаты проведенных проверок. По итогам проведенной работы составлены акты. </w:t>
      </w:r>
    </w:p>
    <w:p>
      <w:pPr>
        <w:pStyle w:val="BodyText"/>
        <w:widowControl/>
        <w:tabs>
          <w:tab w:val="clear" w:pos="706"/>
          <w:tab w:val="left" w:pos="567" w:leader="none"/>
        </w:tabs>
        <w:suppressAutoHyphens w:val="false"/>
        <w:bidi w:val="0"/>
        <w:spacing w:before="0" w:after="0"/>
        <w:ind w:hanging="0"/>
        <w:jc w:val="both"/>
        <w:textAlignment w:val="baseline"/>
        <w:rPr>
          <w:sz w:val="28"/>
          <w:szCs w:val="28"/>
        </w:rPr>
      </w:pPr>
      <w:r>
        <w:rPr>
          <w:rFonts w:eastAsia="Andale Sans UI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  <w:tab/>
      </w:r>
    </w:p>
    <w:p>
      <w:pPr>
        <w:pStyle w:val="BodyText"/>
        <w:widowControl/>
        <w:tabs>
          <w:tab w:val="clear" w:pos="706"/>
          <w:tab w:val="left" w:pos="567" w:leader="none"/>
        </w:tabs>
        <w:suppressAutoHyphens w:val="false"/>
        <w:bidi w:val="0"/>
        <w:spacing w:before="0" w:after="0"/>
        <w:ind w:hanging="0"/>
        <w:jc w:val="both"/>
        <w:textAlignment w:val="baseline"/>
        <w:rPr>
          <w:sz w:val="28"/>
          <w:szCs w:val="28"/>
        </w:rPr>
      </w:pPr>
      <w:r>
        <w:rPr>
          <w:rFonts w:eastAsia="Andale Sans UI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  <w:tab/>
        <w:t>06.02.2026г.</w:t>
        <w:tab/>
        <w:t xml:space="preserve">на предприятии разработано и утверждено в установленном порядке  «Положение о порядке технического расследования причин инцидентов на опасных производственных объектах» . </w:t>
      </w:r>
    </w:p>
    <w:p>
      <w:pPr>
        <w:pStyle w:val="BodyText"/>
        <w:widowControl/>
        <w:tabs>
          <w:tab w:val="clear" w:pos="706"/>
          <w:tab w:val="left" w:pos="567" w:leader="none"/>
        </w:tabs>
        <w:suppressAutoHyphens w:val="false"/>
        <w:bidi w:val="0"/>
        <w:spacing w:before="0" w:after="0"/>
        <w:ind w:hanging="0"/>
        <w:jc w:val="both"/>
        <w:textAlignment w:val="baseline"/>
        <w:rPr>
          <w:rFonts w:ascii="Times New Roman" w:hAnsi="Times New Roman" w:eastAsia="Andale Sans UI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</w:pPr>
      <w:r>
        <w:rPr>
          <w:rFonts w:eastAsia="Andale Sans UI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</w:r>
    </w:p>
    <w:p>
      <w:pPr>
        <w:pStyle w:val="BodyText"/>
        <w:widowControl/>
        <w:tabs>
          <w:tab w:val="clear" w:pos="706"/>
          <w:tab w:val="left" w:pos="567" w:leader="none"/>
        </w:tabs>
        <w:suppressAutoHyphens w:val="false"/>
        <w:bidi w:val="0"/>
        <w:spacing w:before="0" w:after="0"/>
        <w:ind w:hanging="0"/>
        <w:jc w:val="both"/>
        <w:textAlignment w:val="baseline"/>
        <w:rPr/>
      </w:pPr>
      <w:r>
        <w:rPr>
          <w:rStyle w:val="Strong"/>
          <w:rFonts w:eastAsia="Andale Sans UI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  <w:t>Общество располагает финансовыми средствами и материальными ресурсами для локализации и ликвидации последствий аварий, зарезервированными для локализации и ликвидации последствий аварий на объектах АО «Калининградгазификация» в соответствии с действующим приказом «О неснижаемом аварийном запасе материалов»).</w:t>
      </w:r>
    </w:p>
    <w:p>
      <w:pPr>
        <w:pStyle w:val="BodyText"/>
        <w:widowControl/>
        <w:tabs>
          <w:tab w:val="clear" w:pos="706"/>
          <w:tab w:val="left" w:pos="567" w:leader="none"/>
        </w:tabs>
        <w:suppressAutoHyphens w:val="false"/>
        <w:bidi w:val="0"/>
        <w:spacing w:before="0" w:after="0"/>
        <w:ind w:hanging="0"/>
        <w:jc w:val="both"/>
        <w:textAlignment w:val="baseline"/>
        <w:rPr>
          <w:rFonts w:ascii="Times New Roman" w:hAnsi="Times New Roman" w:eastAsia="Andale Sans UI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</w:pPr>
      <w:r>
        <w:rPr>
          <w:rFonts w:eastAsia="Andale Sans UI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</w:r>
    </w:p>
    <w:p>
      <w:pPr>
        <w:pStyle w:val="NormalWeb"/>
        <w:widowControl/>
        <w:suppressAutoHyphens w:val="true"/>
        <w:bidi w:val="0"/>
        <w:spacing w:lineRule="atLeast" w:line="198" w:before="100" w:after="0"/>
        <w:ind w:firstLine="454"/>
        <w:jc w:val="center"/>
        <w:textAlignment w:val="baseline"/>
        <w:rPr>
          <w:rFonts w:ascii="Times New Roman" w:hAnsi="Times New Roman"/>
          <w:b/>
          <w:bCs/>
          <w:i/>
          <w:i/>
          <w:iCs/>
          <w:color w:val="C9211E"/>
          <w:kern w:val="0"/>
          <w:sz w:val="28"/>
          <w:szCs w:val="28"/>
          <w:u w:val="single"/>
          <w:lang w:val="ru-RU" w:eastAsia="en-US" w:bidi="en-US"/>
        </w:rPr>
      </w:pPr>
      <w:bookmarkStart w:id="3" w:name="__DdeLink__329_2136089768"/>
      <w:r>
        <w:rPr>
          <w:b/>
          <w:bCs/>
          <w:i/>
          <w:iCs/>
          <w:color w:val="C9211E"/>
          <w:kern w:val="0"/>
          <w:sz w:val="28"/>
          <w:szCs w:val="28"/>
          <w:u w:val="single"/>
          <w:lang w:val="ru-RU" w:eastAsia="en-US" w:bidi="en-US"/>
        </w:rPr>
        <w:tab/>
      </w:r>
      <w:bookmarkEnd w:id="3"/>
      <w:r>
        <w:rPr>
          <w:b/>
          <w:bCs/>
          <w:i/>
          <w:iCs/>
          <w:color w:val="C9211E"/>
          <w:kern w:val="0"/>
          <w:sz w:val="28"/>
          <w:szCs w:val="28"/>
          <w:u w:val="single"/>
          <w:lang w:val="ru-RU" w:eastAsia="en-US" w:bidi="en-US"/>
        </w:rPr>
        <w:t xml:space="preserve">Слайд 8  </w:t>
      </w:r>
    </w:p>
    <w:p>
      <w:pPr>
        <w:pStyle w:val="BodyText"/>
        <w:widowControl/>
        <w:spacing w:lineRule="atLeast" w:line="198" w:before="0" w:after="0"/>
        <w:ind w:hanging="0" w:left="0" w:right="0"/>
        <w:jc w:val="left"/>
        <w:rPr>
          <w:b/>
          <w:bCs/>
          <w:i/>
          <w:i/>
          <w:iCs/>
          <w:color w:val="C9211E"/>
          <w:sz w:val="28"/>
          <w:szCs w:val="28"/>
          <w:u w:val="none"/>
          <w:lang w:val="ru-RU"/>
        </w:rPr>
      </w:pPr>
      <w:r>
        <w:rPr>
          <w:b/>
          <w:bCs/>
          <w:i/>
          <w:iCs/>
          <w:color w:val="C9211E"/>
          <w:sz w:val="28"/>
          <w:szCs w:val="28"/>
          <w:u w:val="none"/>
          <w:lang w:val="ru-RU"/>
        </w:rPr>
      </w:r>
    </w:p>
    <w:p>
      <w:pPr>
        <w:pStyle w:val="BodyText"/>
        <w:widowControl/>
        <w:tabs>
          <w:tab w:val="clear" w:pos="706"/>
          <w:tab w:val="left" w:pos="567" w:leader="none"/>
        </w:tabs>
        <w:suppressAutoHyphens w:val="false"/>
        <w:bidi w:val="0"/>
        <w:spacing w:before="0" w:after="0"/>
        <w:ind w:hanging="0"/>
        <w:jc w:val="both"/>
        <w:textAlignment w:val="baseline"/>
        <w:rPr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Для осуществления образовательной деятельности в Обществе создано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и функционирует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структурное подразделение  - Учебно-аттестационный пункт (УАП), который осуществляет профессиональное обучение рабочих, занятых строительством и эксплуатацией объектов сетей газораспределения и газопотреб</w:t>
      </w:r>
      <w:r>
        <w:rPr>
          <w:rFonts w:eastAsia="Andale Sans UI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  <w:t>ления на основании лицензии № ПП-1391, выданной Министерством образования Калининградской области 21.09.2021г.</w:t>
      </w:r>
    </w:p>
    <w:p>
      <w:pPr>
        <w:pStyle w:val="BodyText"/>
        <w:widowControl/>
        <w:tabs>
          <w:tab w:val="clear" w:pos="706"/>
          <w:tab w:val="left" w:pos="567" w:leader="none"/>
        </w:tabs>
        <w:suppressAutoHyphens w:val="false"/>
        <w:bidi w:val="0"/>
        <w:spacing w:before="0" w:after="0"/>
        <w:ind w:hanging="0"/>
        <w:jc w:val="both"/>
        <w:textAlignment w:val="baseline"/>
        <w:rPr>
          <w:sz w:val="28"/>
          <w:szCs w:val="28"/>
        </w:rPr>
      </w:pPr>
      <w:r>
        <w:rPr>
          <w:rFonts w:eastAsia="Andale Sans UI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  <w:tab/>
        <w:t>Обучение рабочих проводится по основным программам профессионального обучения, подготовки, переподготовки и повышения квалификации. Также, в УАП проводится предаттестационная подготовка и аттестация специалистов, осуществляющих деятельность по проектированию, строительству и эксплуатации на объектах газоснабжения, в том числе, с применением Единого портала тестирования.</w:t>
      </w:r>
    </w:p>
    <w:p>
      <w:pPr>
        <w:pStyle w:val="BodyText"/>
        <w:widowControl/>
        <w:tabs>
          <w:tab w:val="clear" w:pos="706"/>
          <w:tab w:val="left" w:pos="567" w:leader="none"/>
        </w:tabs>
        <w:suppressAutoHyphens w:val="false"/>
        <w:bidi w:val="0"/>
        <w:spacing w:lineRule="atLeast" w:line="198" w:before="0" w:after="0"/>
        <w:ind w:hanging="0"/>
        <w:jc w:val="both"/>
        <w:textAlignment w:val="baseline"/>
        <w:rPr>
          <w:sz w:val="28"/>
          <w:szCs w:val="28"/>
        </w:rPr>
      </w:pPr>
      <w:r>
        <w:rPr>
          <w:rFonts w:eastAsia="Andale Sans UI" w:cs="Times New Roman"/>
          <w:b w:val="false"/>
          <w:bCs/>
          <w:i w:val="false"/>
          <w:iCs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  <w:t xml:space="preserve">      </w:t>
      </w:r>
      <w:r>
        <w:rPr>
          <w:rFonts w:eastAsia="Andale Sans UI" w:cs="Times New Roman"/>
          <w:b w:val="false"/>
          <w:bCs/>
          <w:i w:val="false"/>
          <w:iCs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en-US"/>
        </w:rPr>
        <w:t>За восемь месяцев 2026 года в учебно-аттестационном пункте обучены и прошли первичную и периодическую проверку знаний 350 рабочих, аттестовано порядка 270 специалистов предприятия</w:t>
      </w:r>
    </w:p>
    <w:p>
      <w:pPr>
        <w:pStyle w:val="NormalWeb"/>
        <w:widowControl/>
        <w:spacing w:lineRule="atLeast" w:line="198" w:before="100" w:after="0"/>
        <w:jc w:val="center"/>
        <w:rPr>
          <w:b/>
          <w:bCs/>
          <w:i/>
          <w:i/>
          <w:iCs/>
          <w:color w:val="000000"/>
          <w:lang w:val="ru-RU"/>
        </w:rPr>
      </w:pPr>
      <w:r>
        <w:rPr>
          <w:b/>
          <w:bCs/>
          <w:i/>
          <w:iCs/>
          <w:color w:val="000000"/>
          <w:lang w:val="ru-RU"/>
        </w:rPr>
      </w:r>
    </w:p>
    <w:p>
      <w:pPr>
        <w:pStyle w:val="NormalWeb"/>
        <w:widowControl/>
        <w:spacing w:lineRule="atLeast" w:line="198" w:before="100" w:after="0"/>
        <w:jc w:val="center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ab/>
      </w:r>
      <w:r>
        <w:rPr>
          <w:rFonts w:eastAsia="Calibri" w:cs="Times New Roman"/>
          <w:b/>
          <w:bCs/>
          <w:i/>
          <w:iCs/>
          <w:color w:val="C9211E"/>
          <w:kern w:val="0"/>
          <w:sz w:val="28"/>
          <w:szCs w:val="28"/>
          <w:u w:val="single"/>
          <w:lang w:val="ru-RU" w:eastAsia="en-US" w:bidi="en-US"/>
        </w:rPr>
        <w:t>Слайд 9</w:t>
      </w:r>
    </w:p>
    <w:p>
      <w:pPr>
        <w:pStyle w:val="Standard"/>
        <w:widowControl/>
        <w:spacing w:lineRule="atLeast" w:line="198" w:before="100" w:after="0"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</w:p>
    <w:p>
      <w:pPr>
        <w:pStyle w:val="Normal"/>
        <w:shd w:val="clear" w:color="auto" w:fill="FFFFFF"/>
        <w:spacing w:lineRule="atLeast" w:line="240"/>
        <w:ind w:hanging="0"/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  <w:lang w:val="ru-RU"/>
        </w:rPr>
        <w:tab/>
        <w:t xml:space="preserve">В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бъемных показателях деятельность Общества за отчетный период характеризуется следующими цифрами:</w:t>
      </w:r>
    </w:p>
    <w:p>
      <w:pPr>
        <w:pStyle w:val="Standard1"/>
        <w:shd w:fill="FFFFFF"/>
        <w:bidi w:val="0"/>
        <w:spacing w:lineRule="atLeast" w:line="240" w:before="100" w:after="0"/>
        <w:ind w:hanging="0" w:left="0" w:right="0"/>
        <w:jc w:val="both"/>
        <w:rPr>
          <w:lang w:val="ru-RU"/>
        </w:rPr>
      </w:pPr>
      <w:r>
        <w:rPr>
          <w:color w:val="000000"/>
          <w:spacing w:val="3"/>
          <w:sz w:val="28"/>
          <w:szCs w:val="28"/>
          <w:lang w:val="ru-RU"/>
        </w:rPr>
        <w:t xml:space="preserve">— </w:t>
      </w:r>
      <w:r>
        <w:rPr>
          <w:color w:val="000000"/>
          <w:spacing w:val="3"/>
          <w:sz w:val="28"/>
          <w:szCs w:val="28"/>
          <w:lang w:val="ru-RU"/>
        </w:rPr>
        <w:t>за 2025 г. транспортировка газа всем группам потребителей по сетям АО «Калининградгазификация» составила 1 010, 311 млн.куб.м, в том числе транспортировка газа населению – 386,896 млн. куб.м, промышленным и коммунально-бытовым потребителям – 623,415 млн.куб.м. Объем транспортировки с 2015 года увеличился на 29 %.</w:t>
      </w:r>
    </w:p>
    <w:p>
      <w:pPr>
        <w:pStyle w:val="Standard1"/>
        <w:bidi w:val="0"/>
        <w:spacing w:lineRule="atLeast" w:line="198" w:before="100" w:after="0"/>
        <w:ind w:hanging="0" w:left="0" w:right="0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ab/>
      </w:r>
    </w:p>
    <w:p>
      <w:pPr>
        <w:pStyle w:val="Standard1"/>
        <w:bidi w:val="0"/>
        <w:ind w:hanging="0" w:left="0" w:right="0"/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 xml:space="preserve">Протяженность газовых сетей природного газа за 10 лет увеличилась на </w:t>
      </w:r>
      <w:r>
        <w:rPr>
          <w:color w:val="000000"/>
          <w:sz w:val="28"/>
          <w:szCs w:val="28"/>
          <w:lang w:val="ru-RU"/>
        </w:rPr>
        <w:t xml:space="preserve">4158,389 </w:t>
      </w:r>
      <w:r>
        <w:rPr>
          <w:sz w:val="28"/>
          <w:szCs w:val="28"/>
          <w:lang w:val="ru-RU"/>
        </w:rPr>
        <w:t>км.</w:t>
      </w:r>
    </w:p>
    <w:p>
      <w:pPr>
        <w:pStyle w:val="Standard1"/>
        <w:bidi w:val="0"/>
        <w:ind w:hanging="0" w:left="0" w:right="0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</w:r>
    </w:p>
    <w:p>
      <w:pPr>
        <w:pStyle w:val="Standard1"/>
        <w:bidi w:val="0"/>
        <w:ind w:hanging="0" w:left="0" w:right="0"/>
        <w:jc w:val="both"/>
        <w:rPr>
          <w:lang w:val="ru-RU"/>
        </w:rPr>
      </w:pPr>
      <w:r>
        <w:rPr>
          <w:sz w:val="28"/>
          <w:szCs w:val="28"/>
          <w:u w:val="single"/>
          <w:lang w:val="ru-RU"/>
        </w:rPr>
        <w:t>Обществом эксплуатируется:</w:t>
      </w:r>
    </w:p>
    <w:p>
      <w:pPr>
        <w:pStyle w:val="Standard1"/>
        <w:bidi w:val="0"/>
        <w:ind w:hanging="0" w:left="0" w:right="0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</w:r>
    </w:p>
    <w:p>
      <w:pPr>
        <w:pStyle w:val="Standard1"/>
        <w:bidi w:val="0"/>
        <w:ind w:hanging="0" w:left="0" w:right="0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— </w:t>
      </w:r>
      <w:r>
        <w:rPr>
          <w:color w:val="000000"/>
          <w:sz w:val="28"/>
          <w:szCs w:val="28"/>
          <w:lang w:val="ru-RU"/>
        </w:rPr>
        <w:t xml:space="preserve">6622,896 </w:t>
      </w:r>
      <w:r>
        <w:rPr>
          <w:sz w:val="28"/>
          <w:szCs w:val="28"/>
          <w:lang w:val="ru-RU"/>
        </w:rPr>
        <w:t xml:space="preserve"> км газопроводов природного газа, в том числе:</w:t>
      </w:r>
    </w:p>
    <w:p>
      <w:pPr>
        <w:pStyle w:val="Textbody1"/>
        <w:numPr>
          <w:ilvl w:val="5"/>
          <w:numId w:val="1"/>
        </w:numPr>
        <w:tabs>
          <w:tab w:val="clear" w:pos="706"/>
          <w:tab w:val="left" w:pos="5040" w:leader="none"/>
        </w:tabs>
        <w:bidi w:val="0"/>
        <w:ind w:hanging="360" w:left="2520" w:right="0"/>
        <w:rPr/>
      </w:pPr>
      <w:r>
        <w:rPr>
          <w:sz w:val="28"/>
          <w:szCs w:val="28"/>
        </w:rPr>
        <w:t>высокого давления</w:t>
        <w:tab/>
        <w:t xml:space="preserve"> — 1818,811 км</w:t>
      </w:r>
    </w:p>
    <w:p>
      <w:pPr>
        <w:pStyle w:val="Textbody1"/>
        <w:numPr>
          <w:ilvl w:val="5"/>
          <w:numId w:val="1"/>
        </w:numPr>
        <w:tabs>
          <w:tab w:val="clear" w:pos="706"/>
          <w:tab w:val="left" w:pos="5040" w:leader="none"/>
        </w:tabs>
        <w:bidi w:val="0"/>
        <w:ind w:hanging="360" w:left="2520" w:right="0"/>
        <w:rPr/>
      </w:pPr>
      <w:r>
        <w:rPr>
          <w:sz w:val="28"/>
          <w:szCs w:val="28"/>
        </w:rPr>
        <w:t>среднего давления</w:t>
        <w:tab/>
        <w:t xml:space="preserve"> — 157,068 км</w:t>
      </w:r>
    </w:p>
    <w:p>
      <w:pPr>
        <w:pStyle w:val="Textbody1"/>
        <w:numPr>
          <w:ilvl w:val="5"/>
          <w:numId w:val="1"/>
        </w:numPr>
        <w:tabs>
          <w:tab w:val="clear" w:pos="706"/>
          <w:tab w:val="left" w:pos="5040" w:leader="none"/>
        </w:tabs>
        <w:bidi w:val="0"/>
        <w:ind w:hanging="360" w:left="2520" w:right="0"/>
        <w:rPr/>
      </w:pPr>
      <w:r>
        <w:rPr>
          <w:sz w:val="28"/>
          <w:szCs w:val="28"/>
        </w:rPr>
        <w:t>низкого давления</w:t>
        <w:tab/>
        <w:t xml:space="preserve"> — 4647,017 км</w:t>
      </w:r>
    </w:p>
    <w:p>
      <w:pPr>
        <w:pStyle w:val="Standard1"/>
        <w:bidi w:val="0"/>
        <w:ind w:hanging="0" w:left="0" w:right="0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— </w:t>
      </w:r>
      <w:r>
        <w:rPr>
          <w:color w:val="000000"/>
          <w:sz w:val="28"/>
          <w:szCs w:val="28"/>
          <w:lang w:val="ru-RU"/>
        </w:rPr>
        <w:t xml:space="preserve">3,204 </w:t>
      </w:r>
      <w:r>
        <w:rPr>
          <w:sz w:val="28"/>
          <w:szCs w:val="28"/>
        </w:rPr>
        <w:t xml:space="preserve"> км газопроводов сжиженного газа</w:t>
      </w:r>
    </w:p>
    <w:p>
      <w:pPr>
        <w:pStyle w:val="Standard1"/>
        <w:bidi w:val="0"/>
        <w:ind w:hanging="0" w:left="0" w:right="0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— </w:t>
      </w:r>
      <w:r>
        <w:rPr>
          <w:sz w:val="28"/>
          <w:szCs w:val="28"/>
          <w:lang w:val="ru-RU"/>
        </w:rPr>
        <w:t>13 газорегуляторный пункт (ГРП, ГРПБ, ГРУ)</w:t>
      </w:r>
    </w:p>
    <w:p>
      <w:pPr>
        <w:pStyle w:val="Standard1"/>
        <w:bidi w:val="0"/>
        <w:ind w:hanging="0" w:left="0" w:right="0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— </w:t>
      </w:r>
      <w:r>
        <w:rPr>
          <w:color w:val="000000"/>
          <w:sz w:val="28"/>
          <w:szCs w:val="28"/>
          <w:lang w:val="ru-RU"/>
        </w:rPr>
        <w:t>2269</w:t>
      </w:r>
      <w:r>
        <w:rPr>
          <w:sz w:val="28"/>
          <w:szCs w:val="28"/>
          <w:lang w:val="ru-RU"/>
        </w:rPr>
        <w:t xml:space="preserve"> шкафных газорегуляторных пункта (ШРП)</w:t>
      </w:r>
    </w:p>
    <w:p>
      <w:pPr>
        <w:pStyle w:val="Standard1"/>
        <w:bidi w:val="0"/>
        <w:ind w:hanging="0" w:left="0" w:right="0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— </w:t>
      </w:r>
      <w:r>
        <w:rPr>
          <w:sz w:val="28"/>
          <w:szCs w:val="28"/>
          <w:lang w:val="ru-RU"/>
        </w:rPr>
        <w:t>451 установок электрохимзащиты на подземных газопроводах</w:t>
      </w:r>
    </w:p>
    <w:p>
      <w:pPr>
        <w:pStyle w:val="Standard1"/>
        <w:bidi w:val="0"/>
        <w:ind w:hanging="0" w:left="0" w:right="0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— </w:t>
      </w:r>
      <w:r>
        <w:rPr>
          <w:color w:val="000000"/>
          <w:sz w:val="28"/>
          <w:szCs w:val="28"/>
          <w:lang w:val="ru-RU"/>
        </w:rPr>
        <w:t>211</w:t>
      </w:r>
      <w:r>
        <w:rPr>
          <w:sz w:val="28"/>
          <w:szCs w:val="28"/>
          <w:lang w:val="ru-RU"/>
        </w:rPr>
        <w:t xml:space="preserve"> телемеханизированных объектов</w:t>
      </w:r>
    </w:p>
    <w:p>
      <w:pPr>
        <w:pStyle w:val="Standard1"/>
        <w:bidi w:val="0"/>
        <w:ind w:hanging="0" w:left="0" w:right="0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</w:r>
    </w:p>
    <w:p>
      <w:pPr>
        <w:pStyle w:val="Standard1"/>
        <w:bidi w:val="0"/>
        <w:ind w:hanging="0" w:left="0" w:right="0"/>
        <w:jc w:val="both"/>
        <w:rPr>
          <w:lang w:val="ru-RU"/>
        </w:rPr>
      </w:pPr>
      <w:r>
        <w:rPr>
          <w:sz w:val="28"/>
          <w:szCs w:val="28"/>
          <w:lang w:val="ru-RU"/>
        </w:rPr>
        <w:t>Природный газ в области используют 242 населенных пунктов</w:t>
      </w:r>
    </w:p>
    <w:p>
      <w:pPr>
        <w:pStyle w:val="Standard1"/>
        <w:bidi w:val="0"/>
        <w:ind w:hanging="0" w:left="0" w:right="0"/>
        <w:jc w:val="both"/>
        <w:rPr>
          <w:lang w:val="ru-RU"/>
        </w:rPr>
      </w:pPr>
      <w:r>
        <w:rPr>
          <w:lang w:val="ru-RU"/>
        </w:rPr>
      </w:r>
    </w:p>
    <w:p>
      <w:pPr>
        <w:pStyle w:val="Standard1"/>
        <w:bidi w:val="0"/>
        <w:ind w:hanging="0" w:left="0" w:right="0"/>
        <w:jc w:val="both"/>
        <w:rPr>
          <w:lang w:val="ru-RU"/>
        </w:rPr>
      </w:pPr>
      <w:r>
        <w:rPr>
          <w:sz w:val="28"/>
          <w:szCs w:val="28"/>
          <w:lang w:val="ru-RU"/>
        </w:rPr>
        <w:t>Всего газифицировано сжиженным и природным газом 498122 квартиры, в том числе в сельской местности 77495 квартир.</w:t>
      </w:r>
    </w:p>
    <w:p>
      <w:pPr>
        <w:pStyle w:val="Normal"/>
        <w:shd w:val="clear" w:color="auto" w:fill="FFFFFF"/>
        <w:spacing w:lineRule="atLeast" w:line="24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tabs>
          <w:tab w:val="clear" w:pos="706"/>
          <w:tab w:val="left" w:pos="0" w:leader="none"/>
        </w:tabs>
        <w:spacing w:lineRule="atLeast" w:line="198" w:before="100" w:after="0"/>
        <w:ind w:hanging="0"/>
        <w:jc w:val="center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ab/>
      </w:r>
      <w:r>
        <w:rPr>
          <w:rFonts w:eastAsia="Calibri" w:cs="Times New Roman"/>
          <w:b/>
          <w:bCs/>
          <w:i/>
          <w:iCs/>
          <w:color w:val="C9211E"/>
          <w:kern w:val="0"/>
          <w:sz w:val="28"/>
          <w:szCs w:val="28"/>
          <w:u w:val="single"/>
          <w:lang w:val="ru-RU" w:eastAsia="en-US" w:bidi="en-US"/>
        </w:rPr>
        <w:t>Слайд 10</w:t>
      </w:r>
    </w:p>
    <w:p>
      <w:pPr>
        <w:pStyle w:val="BodyText"/>
        <w:widowControl/>
        <w:spacing w:before="0" w:after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6"/>
          <w:tab w:val="left" w:pos="-612" w:leader="none"/>
        </w:tabs>
        <w:ind w:firstLine="709" w:left="0" w:right="0"/>
        <w:jc w:val="both"/>
        <w:rPr/>
      </w:pPr>
      <w:r>
        <w:rPr>
          <w:rFonts w:eastAsia="Calibri" w:cs="Times New Roman"/>
          <w:sz w:val="28"/>
          <w:szCs w:val="28"/>
          <w:lang w:val="ru-RU"/>
        </w:rPr>
        <w:t>В 2021 году АО «Калининградгазификация» совместно с Правительством Калининградской области, была подготовлена и согласована Программа развития газификации Калининградской области на 2021-2025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  <w:lang w:val="ru-RU"/>
        </w:rPr>
        <w:t>гг.  за счет консолидированного бюджета Калининградской области и средств АО</w:t>
      </w:r>
      <w:r>
        <w:rPr>
          <w:rFonts w:eastAsia="Calibri" w:cs="Times New Roman"/>
          <w:sz w:val="28"/>
          <w:szCs w:val="28"/>
        </w:rPr>
        <w:t> </w:t>
      </w:r>
      <w:r>
        <w:rPr>
          <w:rFonts w:eastAsia="Calibri" w:cs="Times New Roman"/>
          <w:sz w:val="28"/>
          <w:szCs w:val="28"/>
          <w:lang w:val="ru-RU"/>
        </w:rPr>
        <w:t xml:space="preserve">«РОСНЕФТЕГАЗ».  В рамках указанной Программой было выполнено строительство </w:t>
      </w:r>
      <w:r>
        <w:rPr>
          <w:rStyle w:val="6"/>
          <w:rFonts w:eastAsia="Calibri" w:cs="Times New Roman"/>
          <w:sz w:val="28"/>
          <w:szCs w:val="28"/>
          <w:lang w:val="ru-RU"/>
        </w:rPr>
        <w:t>19 межпоселковых газопроводов общей протяженностью 397 км для газификации 126 населенных пунктов</w:t>
      </w:r>
      <w:r>
        <w:rPr>
          <w:rStyle w:val="6"/>
          <w:rFonts w:eastAsia="Calibri" w:cs="Times New Roman"/>
          <w:sz w:val="28"/>
          <w:szCs w:val="28"/>
          <w:lang w:val="ru-RU" w:eastAsia="ar-SA"/>
        </w:rPr>
        <w:t xml:space="preserve"> в 11 муниципальных образованиях.</w:t>
      </w:r>
      <w:r>
        <w:rPr>
          <w:rStyle w:val="6"/>
          <w:rFonts w:eastAsia="Times New Roman" w:cs="Times New Roman"/>
          <w:sz w:val="28"/>
          <w:szCs w:val="28"/>
          <w:lang w:val="ru-RU" w:eastAsia="ar-SA"/>
        </w:rPr>
        <w:t xml:space="preserve"> Финансирование строительства межпоселковых газопроводов предусматривалось полностью за счет средств АО «РОСНЕФТЕГАЗ» (сумма инвестиций составляет 4 млрд. руб.).  </w:t>
      </w:r>
    </w:p>
    <w:p>
      <w:pPr>
        <w:pStyle w:val="Normal"/>
        <w:ind w:firstLine="709" w:left="0" w:right="0"/>
        <w:jc w:val="both"/>
        <w:rPr/>
      </w:pPr>
      <w:r>
        <w:rPr>
          <w:rStyle w:val="6"/>
          <w:rFonts w:cs="Times New Roman"/>
          <w:sz w:val="28"/>
          <w:szCs w:val="28"/>
          <w:lang w:val="ru-RU" w:eastAsia="ar-SA"/>
        </w:rPr>
        <w:t xml:space="preserve">Реализация данной Программы и ввод в эксплуатацию межпоселковых газопроводов  позволил жителям  населенных пунктов Калининградской области, до которых доведен природный газ,  принять участие в социальной программе догазификации, </w:t>
      </w:r>
      <w:r>
        <w:rPr>
          <w:rFonts w:cs="Times New Roman"/>
          <w:sz w:val="28"/>
          <w:szCs w:val="28"/>
          <w:lang w:val="ru-RU" w:eastAsia="ar-SA"/>
        </w:rPr>
        <w:t xml:space="preserve">с выполнением работ по строительству газопроводов до границ земельных участков без взимания средств с заявителей. </w:t>
      </w:r>
      <w:r>
        <w:rPr>
          <w:rStyle w:val="6"/>
          <w:rFonts w:eastAsia="Times New Roman" w:cs="Times New Roman"/>
          <w:kern w:val="0"/>
          <w:sz w:val="28"/>
          <w:szCs w:val="28"/>
          <w:lang w:val="ru-RU" w:eastAsia="ar-SA"/>
        </w:rPr>
        <w:t>Газификация  населенных пунктов способствует созданию более комфортных условий  для жизни, развитию субъектов малого</w:t>
      </w:r>
      <w:r>
        <w:rPr>
          <w:rFonts w:eastAsia="Times New Roman" w:cs="Times New Roman"/>
          <w:kern w:val="0"/>
          <w:sz w:val="28"/>
          <w:szCs w:val="28"/>
          <w:lang w:val="ru-RU" w:eastAsia="ar-SA"/>
        </w:rPr>
        <w:t xml:space="preserve"> и среднего бизнеса, а также крупных промышленных потребителей, что, в свою очередь повлечет за собой создание новых рабочих мест и развитии экономики как отдельных территорий, так и региона в целом. </w:t>
      </w:r>
    </w:p>
    <w:p>
      <w:pPr>
        <w:pStyle w:val="Normal"/>
        <w:ind w:firstLine="709" w:left="0" w:right="0"/>
        <w:jc w:val="both"/>
        <w:rPr/>
      </w:pPr>
      <w:r>
        <w:rPr>
          <w:rFonts w:eastAsia="Times New Roman" w:cs="Times New Roman"/>
          <w:kern w:val="0"/>
          <w:sz w:val="28"/>
          <w:szCs w:val="28"/>
          <w:lang w:val="ru-RU" w:eastAsia="ar-SA"/>
        </w:rPr>
        <w:t xml:space="preserve">Так реализация и ввод в эксплуатацию межпоселкового газопровода от АГРС Советск - Дубки - Акулово - Котельниково - Ракитино - Гудково - Искра - Подгорное - Дубравино - Красное село - Лунино (закольцовка) - Гарино - Большое село - Лесное (объект № 1 Программы) </w:t>
      </w:r>
      <w:r>
        <w:rPr>
          <w:rStyle w:val="6"/>
          <w:rFonts w:eastAsia="Times New Roman" w:cs="Times New Roman"/>
          <w:kern w:val="0"/>
          <w:sz w:val="28"/>
          <w:szCs w:val="28"/>
          <w:lang w:val="ru-RU" w:eastAsia="ar-SA"/>
        </w:rPr>
        <w:t>позволяет газифицировать природным газом первую в России высокотехнологичную гигафабрику по производству литий-ионных аккумуляторных батарей мощностью 4 000 Мвт/ч, принадлежащую компании ООО «РЭНЕРА-Энергетик», с максимальным часовым расходом подключаемого газоиспользующего оборудования 7 451 куб. м, что приведет к росту объемов транспортируемого по сетям Общества</w:t>
      </w:r>
      <w:r>
        <w:rPr>
          <w:rStyle w:val="6"/>
          <w:rFonts w:eastAsia="Calibri" w:cs="Times New Roman"/>
          <w:kern w:val="0"/>
          <w:sz w:val="28"/>
          <w:szCs w:val="28"/>
          <w:lang w:val="ru-RU" w:eastAsia="ar-SA"/>
        </w:rPr>
        <w:t xml:space="preserve"> природного газа на 30,200 млн. куб. м в год.</w:t>
      </w:r>
      <w:r>
        <w:rPr>
          <w:rStyle w:val="6"/>
          <w:rFonts w:eastAsia="Times New Roman" w:cs="Times New Roman"/>
          <w:kern w:val="0"/>
          <w:sz w:val="28"/>
          <w:szCs w:val="28"/>
          <w:lang w:val="ru-RU" w:eastAsia="ar-SA"/>
        </w:rPr>
        <w:t xml:space="preserve"> </w:t>
      </w:r>
    </w:p>
    <w:p>
      <w:pPr>
        <w:pStyle w:val="Normal"/>
        <w:widowControl/>
        <w:spacing w:before="0" w:after="0"/>
        <w:ind w:firstLine="709" w:left="0" w:right="0"/>
        <w:jc w:val="both"/>
        <w:rPr/>
      </w:pPr>
      <w:r>
        <w:rPr>
          <w:rStyle w:val="6"/>
          <w:rFonts w:eastAsia="Times New Roman" w:cs="Times New Roman"/>
          <w:kern w:val="0"/>
          <w:sz w:val="28"/>
          <w:szCs w:val="28"/>
          <w:lang w:val="ru-RU" w:eastAsia="ar-SA"/>
        </w:rPr>
        <w:t>Ито</w:t>
      </w:r>
      <w:r>
        <w:rPr>
          <w:rStyle w:val="6"/>
          <w:rFonts w:eastAsia="Calibri" w:cs="Times New Roman"/>
          <w:kern w:val="0"/>
          <w:sz w:val="28"/>
          <w:szCs w:val="28"/>
          <w:lang w:val="ru-RU" w:eastAsia="ar-SA"/>
        </w:rPr>
        <w:t>ги</w:t>
      </w:r>
      <w:r>
        <w:rPr>
          <w:rStyle w:val="6"/>
          <w:rFonts w:eastAsia="Times New Roman" w:cs="Times New Roman"/>
          <w:kern w:val="0"/>
          <w:sz w:val="28"/>
          <w:szCs w:val="28"/>
          <w:lang w:val="ru-RU" w:eastAsia="ar-SA"/>
        </w:rPr>
        <w:t xml:space="preserve"> </w:t>
      </w:r>
      <w:r>
        <w:rPr>
          <w:rStyle w:val="2"/>
          <w:rFonts w:eastAsia="Calibri" w:cs="Times New Roman"/>
          <w:kern w:val="0"/>
          <w:sz w:val="28"/>
          <w:szCs w:val="28"/>
          <w:lang w:val="ru-RU" w:eastAsia="ar-SA"/>
        </w:rPr>
        <w:t xml:space="preserve">реализации Программы являются важным фактором социально-экономического развития Калининградской области и положительным образом сказываются на уровне жизни населения. </w:t>
      </w:r>
    </w:p>
    <w:p>
      <w:pPr>
        <w:pStyle w:val="Normal"/>
        <w:widowControl/>
        <w:spacing w:before="0" w:after="0"/>
        <w:ind w:firstLine="709" w:left="0" w:right="0"/>
        <w:jc w:val="both"/>
        <w:rPr>
          <w:rStyle w:val="2"/>
          <w:rFonts w:eastAsia="Calibri" w:cs="Times New Roman"/>
          <w:kern w:val="0"/>
          <w:sz w:val="28"/>
          <w:szCs w:val="28"/>
          <w:lang w:val="ru-RU" w:eastAsia="ar-SA"/>
        </w:rPr>
      </w:pPr>
      <w:r>
        <w:rPr>
          <w:rFonts w:eastAsia="Calibri" w:cs="Times New Roman"/>
          <w:kern w:val="0"/>
          <w:sz w:val="28"/>
          <w:szCs w:val="28"/>
          <w:lang w:val="ru-RU" w:eastAsia="ar-SA"/>
        </w:rPr>
      </w:r>
    </w:p>
    <w:p>
      <w:pPr>
        <w:pStyle w:val="Normal"/>
        <w:tabs>
          <w:tab w:val="clear" w:pos="706"/>
          <w:tab w:val="left" w:pos="0" w:leader="none"/>
        </w:tabs>
        <w:spacing w:lineRule="atLeast" w:line="198" w:before="100" w:after="0"/>
        <w:ind w:hanging="0"/>
        <w:jc w:val="center"/>
        <w:rPr/>
      </w:pPr>
      <w:r>
        <w:rPr>
          <w:b/>
          <w:bCs/>
          <w:i/>
          <w:iCs/>
          <w:color w:val="C9211E"/>
          <w:sz w:val="28"/>
          <w:szCs w:val="28"/>
          <w:u w:val="single"/>
          <w:lang w:val="ru-RU"/>
        </w:rPr>
        <w:t>Слайд 11</w:t>
      </w:r>
    </w:p>
    <w:p>
      <w:pPr>
        <w:pStyle w:val="Normal"/>
        <w:jc w:val="both"/>
        <w:rPr>
          <w:b/>
          <w:color w:val="C9211E"/>
          <w:lang w:val="ru-RU"/>
        </w:rPr>
      </w:pPr>
      <w:r>
        <w:rPr>
          <w:b/>
          <w:color w:val="C9211E"/>
          <w:lang w:val="ru-RU"/>
        </w:rPr>
      </w:r>
    </w:p>
    <w:p>
      <w:pPr>
        <w:pStyle w:val="Normal"/>
        <w:tabs>
          <w:tab w:val="clear" w:pos="706"/>
          <w:tab w:val="left" w:pos="0" w:leader="none"/>
        </w:tabs>
        <w:spacing w:lineRule="auto" w:line="276" w:before="100" w:after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С 2021 года АО «Калининградгазификация» является региональным оператором по газификации на территории Калининградской области.</w:t>
      </w:r>
    </w:p>
    <w:p>
      <w:pPr>
        <w:pStyle w:val="NormalWeb"/>
        <w:tabs>
          <w:tab w:val="clear" w:pos="706"/>
          <w:tab w:val="left" w:pos="0" w:leader="none"/>
        </w:tabs>
        <w:spacing w:lineRule="auto" w:line="276" w:before="24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 xml:space="preserve">По данным </w:t>
      </w:r>
      <w:r>
        <w:rPr>
          <w:sz w:val="28"/>
          <w:szCs w:val="28"/>
          <w:lang w:val="ru-RU"/>
        </w:rPr>
        <w:t>региональной программы «Программа газификации жилищно-коммунального хозяйства, промышленных и иных организаций Калининградской области на период до 2031 года» (далее — Региональная программа)</w:t>
      </w:r>
      <w:r>
        <w:rPr>
          <w:color w:val="000000"/>
          <w:sz w:val="28"/>
          <w:szCs w:val="28"/>
          <w:lang w:val="ru-RU"/>
        </w:rPr>
        <w:t xml:space="preserve">, утвержденной Постановлением Правительства Калининградской области от 20.05.2025  №185-п запланированы следующие мероприятия по газификации </w:t>
      </w:r>
      <w:r>
        <w:rPr>
          <w:b/>
          <w:bCs/>
          <w:color w:val="000000"/>
          <w:sz w:val="28"/>
          <w:szCs w:val="28"/>
          <w:lang w:val="ru-RU"/>
        </w:rPr>
        <w:t>14 714</w:t>
      </w:r>
      <w:r>
        <w:rPr>
          <w:color w:val="000000"/>
          <w:sz w:val="28"/>
          <w:szCs w:val="28"/>
          <w:lang w:val="ru-RU"/>
        </w:rPr>
        <w:t xml:space="preserve"> домовладений, из них: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— </w:t>
      </w:r>
      <w:r>
        <w:rPr>
          <w:color w:val="000000"/>
          <w:sz w:val="28"/>
          <w:szCs w:val="28"/>
          <w:lang w:val="ru-RU"/>
        </w:rPr>
        <w:t xml:space="preserve">от сетей АО «Калининградгазификация», — </w:t>
      </w:r>
      <w:r>
        <w:rPr>
          <w:b/>
          <w:bCs/>
          <w:color w:val="000000"/>
          <w:sz w:val="28"/>
          <w:szCs w:val="28"/>
          <w:lang w:val="ru-RU"/>
        </w:rPr>
        <w:t>13 211</w:t>
      </w:r>
      <w:r>
        <w:rPr>
          <w:color w:val="000000"/>
          <w:sz w:val="28"/>
          <w:szCs w:val="28"/>
          <w:lang w:val="ru-RU"/>
        </w:rPr>
        <w:t xml:space="preserve"> домовладений в </w:t>
      </w:r>
      <w:r>
        <w:rPr>
          <w:b/>
          <w:bCs/>
          <w:color w:val="000000"/>
          <w:sz w:val="28"/>
          <w:szCs w:val="28"/>
          <w:lang w:val="ru-RU"/>
        </w:rPr>
        <w:t xml:space="preserve">303 </w:t>
      </w:r>
      <w:r>
        <w:rPr>
          <w:color w:val="000000"/>
          <w:sz w:val="28"/>
          <w:szCs w:val="28"/>
          <w:lang w:val="ru-RU"/>
        </w:rPr>
        <w:t>населенных пунктах;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— </w:t>
      </w:r>
      <w:r>
        <w:rPr>
          <w:color w:val="000000"/>
          <w:sz w:val="28"/>
          <w:szCs w:val="28"/>
          <w:lang w:val="ru-RU"/>
        </w:rPr>
        <w:t xml:space="preserve">от сетей АО «Газпром газораспределение», — </w:t>
      </w:r>
      <w:r>
        <w:rPr>
          <w:b/>
          <w:bCs/>
          <w:sz w:val="28"/>
          <w:szCs w:val="28"/>
          <w:lang w:val="ru-RU"/>
        </w:rPr>
        <w:t>1 503</w:t>
      </w:r>
      <w:r>
        <w:rPr>
          <w:color w:val="000000"/>
          <w:sz w:val="28"/>
          <w:szCs w:val="28"/>
          <w:lang w:val="ru-RU"/>
        </w:rPr>
        <w:t xml:space="preserve"> домовладения в </w:t>
      </w:r>
      <w:r>
        <w:rPr>
          <w:b/>
          <w:bCs/>
          <w:color w:val="000000"/>
          <w:sz w:val="28"/>
          <w:szCs w:val="28"/>
          <w:lang w:val="ru-RU"/>
        </w:rPr>
        <w:t>52</w:t>
      </w:r>
      <w:r>
        <w:rPr>
          <w:color w:val="000000"/>
          <w:sz w:val="28"/>
          <w:szCs w:val="28"/>
          <w:lang w:val="ru-RU"/>
        </w:rPr>
        <w:t xml:space="preserve"> населенных пунктах области.</w:t>
      </w:r>
    </w:p>
    <w:p>
      <w:pPr>
        <w:pStyle w:val="NormalWeb"/>
        <w:tabs>
          <w:tab w:val="clear" w:pos="706"/>
          <w:tab w:val="left" w:pos="0" w:leader="none"/>
        </w:tabs>
        <w:spacing w:lineRule="auto" w:line="276" w:before="240" w:after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По состоянию на 28.08.2026 г.</w:t>
      </w:r>
      <w:r>
        <w:rPr>
          <w:sz w:val="28"/>
          <w:szCs w:val="28"/>
          <w:lang w:val="ru-RU"/>
        </w:rPr>
        <w:t xml:space="preserve"> поступило </w:t>
      </w:r>
      <w:r>
        <w:rPr>
          <w:b/>
          <w:bCs/>
          <w:sz w:val="28"/>
          <w:szCs w:val="28"/>
          <w:lang w:val="ru-RU"/>
        </w:rPr>
        <w:t>33 964</w:t>
      </w:r>
      <w:r>
        <w:rPr>
          <w:sz w:val="28"/>
          <w:szCs w:val="28"/>
          <w:lang w:val="ru-RU"/>
        </w:rPr>
        <w:t xml:space="preserve"> заявки на догазификацию. Принято в работу </w:t>
      </w:r>
      <w:r>
        <w:rPr>
          <w:b/>
          <w:bCs/>
          <w:sz w:val="28"/>
          <w:szCs w:val="28"/>
          <w:lang w:val="ru-RU"/>
        </w:rPr>
        <w:t>23 871</w:t>
      </w:r>
      <w:r>
        <w:rPr>
          <w:sz w:val="28"/>
          <w:szCs w:val="28"/>
          <w:lang w:val="ru-RU"/>
        </w:rPr>
        <w:t xml:space="preserve">, отклонено </w:t>
      </w:r>
      <w:r>
        <w:rPr>
          <w:b/>
          <w:bCs/>
          <w:sz w:val="28"/>
          <w:szCs w:val="28"/>
          <w:lang w:val="ru-RU"/>
        </w:rPr>
        <w:t>10 093</w:t>
      </w:r>
      <w:r>
        <w:rPr>
          <w:sz w:val="28"/>
          <w:szCs w:val="28"/>
          <w:lang w:val="ru-RU"/>
        </w:rPr>
        <w:t>.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 том числе, по отклоненным заявкам: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—    </w:t>
      </w:r>
      <w:r>
        <w:rPr>
          <w:b/>
          <w:bCs/>
          <w:sz w:val="28"/>
          <w:szCs w:val="28"/>
          <w:lang w:val="ru-RU"/>
        </w:rPr>
        <w:t>1 801</w:t>
      </w:r>
      <w:r>
        <w:rPr>
          <w:sz w:val="28"/>
          <w:szCs w:val="28"/>
          <w:lang w:val="ru-RU"/>
        </w:rPr>
        <w:t xml:space="preserve"> заявка отменена заявителем/отказ заявителя от подписания договора;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— </w:t>
      </w:r>
      <w:r>
        <w:rPr>
          <w:b/>
          <w:bCs/>
          <w:sz w:val="28"/>
          <w:szCs w:val="28"/>
          <w:lang w:val="ru-RU"/>
        </w:rPr>
        <w:t xml:space="preserve">5 208 </w:t>
      </w:r>
      <w:r>
        <w:rPr>
          <w:bCs/>
          <w:sz w:val="28"/>
          <w:szCs w:val="28"/>
          <w:lang w:val="ru-RU"/>
        </w:rPr>
        <w:t>заявок а</w:t>
      </w:r>
      <w:r>
        <w:rPr>
          <w:sz w:val="28"/>
          <w:szCs w:val="28"/>
          <w:lang w:val="ru-RU"/>
        </w:rPr>
        <w:t>ннулированы (заявки</w:t>
      </w:r>
      <w:r>
        <w:rPr>
          <w:color w:val="000000"/>
          <w:sz w:val="28"/>
          <w:szCs w:val="28"/>
          <w:lang w:val="ru-RU"/>
        </w:rPr>
        <w:t xml:space="preserve"> аннулируются в связи с непредоставлением Заявителем необходимых документов и сведений в нормативный срок, а также в связи с отсутствием подписанного Заявителем экземпляра договора и представленного в адрес Общества в соответствии с отведенным законодательством сроком</w:t>
      </w:r>
      <w:r>
        <w:rPr>
          <w:sz w:val="28"/>
          <w:szCs w:val="28"/>
          <w:lang w:val="ru-RU"/>
        </w:rPr>
        <w:t>);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— </w:t>
      </w:r>
      <w:r>
        <w:rPr>
          <w:b/>
          <w:bCs/>
          <w:sz w:val="28"/>
          <w:szCs w:val="28"/>
          <w:lang w:val="ru-RU"/>
        </w:rPr>
        <w:t xml:space="preserve">3 629 </w:t>
      </w:r>
      <w:r>
        <w:rPr>
          <w:bCs/>
          <w:sz w:val="28"/>
          <w:szCs w:val="28"/>
          <w:lang w:val="ru-RU"/>
        </w:rPr>
        <w:t>заявок н</w:t>
      </w:r>
      <w:r>
        <w:rPr>
          <w:sz w:val="28"/>
          <w:szCs w:val="28"/>
          <w:lang w:val="ru-RU"/>
        </w:rPr>
        <w:t>е соответствуют критериям догазификации (не газифицированный населенный пункт, отсутствие документов, подтверждающих право собственности на земельный участок/домовладение, либо нахождение домовладения в газифицированном СНТ, предоставление  услуги  оказывается/было оказано в период до 3 лет).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 том числе по принятым заявкам: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ru-RU"/>
        </w:rPr>
        <w:t>•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15 153</w:t>
      </w:r>
      <w:r>
        <w:rPr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заявки</w:t>
      </w:r>
      <w:r>
        <w:rPr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lang w:val="ru-RU"/>
        </w:rPr>
        <w:t>—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исполнено до границ участка, в том числе: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ru-RU"/>
        </w:rPr>
        <w:t>-</w:t>
      </w:r>
      <w:r>
        <w:rPr>
          <w:b/>
          <w:bCs/>
          <w:sz w:val="28"/>
          <w:szCs w:val="28"/>
          <w:lang w:val="ru-RU"/>
        </w:rPr>
        <w:t xml:space="preserve"> 12 294 заявки </w:t>
      </w:r>
      <w:r>
        <w:rPr>
          <w:b/>
          <w:bCs/>
          <w:color w:val="000000"/>
          <w:sz w:val="28"/>
          <w:szCs w:val="28"/>
          <w:lang w:val="ru-RU"/>
        </w:rPr>
        <w:t>—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ыполнен пуск газа;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ru-RU"/>
        </w:rPr>
        <w:t>-</w:t>
      </w:r>
      <w:r>
        <w:rPr>
          <w:b/>
          <w:bCs/>
          <w:sz w:val="28"/>
          <w:szCs w:val="28"/>
          <w:lang w:val="ru-RU"/>
        </w:rPr>
        <w:t xml:space="preserve"> 2 859 заявок </w:t>
      </w:r>
      <w:bookmarkStart w:id="4" w:name="__DdeLink__363_5983393351"/>
      <w:r>
        <w:rPr>
          <w:b/>
          <w:bCs/>
          <w:color w:val="000000"/>
          <w:sz w:val="28"/>
          <w:szCs w:val="28"/>
          <w:lang w:val="ru-RU"/>
        </w:rPr>
        <w:t>—</w:t>
      </w:r>
      <w:bookmarkEnd w:id="4"/>
      <w:r>
        <w:rPr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ыполнение фактического присоединения (обязанности ГРО исполнены), ожидаем готовности заявителя;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ru-RU"/>
        </w:rPr>
        <w:t xml:space="preserve">• </w:t>
      </w:r>
      <w:r>
        <w:rPr>
          <w:b/>
          <w:bCs/>
          <w:sz w:val="28"/>
          <w:szCs w:val="28"/>
          <w:lang w:val="ru-RU"/>
        </w:rPr>
        <w:t xml:space="preserve">7 009 заявок </w:t>
      </w:r>
      <w:r>
        <w:rPr>
          <w:b/>
          <w:bCs/>
          <w:color w:val="000000"/>
          <w:sz w:val="28"/>
          <w:szCs w:val="28"/>
          <w:lang w:val="ru-RU"/>
        </w:rPr>
        <w:t>—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находятся в стадии реализации договора (</w:t>
      </w:r>
      <w:r>
        <w:rPr>
          <w:b/>
          <w:sz w:val="28"/>
          <w:szCs w:val="28"/>
          <w:lang w:val="ru-RU"/>
        </w:rPr>
        <w:t>584</w:t>
      </w:r>
      <w:r>
        <w:rPr>
          <w:bCs/>
          <w:sz w:val="28"/>
          <w:szCs w:val="28"/>
          <w:lang w:val="ru-RU"/>
        </w:rPr>
        <w:t xml:space="preserve"> договора расторгнуты на основании обращения Заявителя, либо в связи с неисполнением Заявителем своих обязательств в нормативный срок);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ru-RU"/>
        </w:rPr>
        <w:t xml:space="preserve">• </w:t>
      </w:r>
      <w:r>
        <w:rPr>
          <w:rFonts w:eastAsia="Times New Roman"/>
          <w:b/>
          <w:bCs/>
          <w:sz w:val="28"/>
          <w:szCs w:val="28"/>
          <w:lang w:val="ru-RU"/>
        </w:rPr>
        <w:t>53</w:t>
      </w:r>
      <w:r>
        <w:rPr>
          <w:b/>
          <w:bCs/>
          <w:sz w:val="28"/>
          <w:szCs w:val="28"/>
          <w:lang w:val="ru-RU"/>
        </w:rPr>
        <w:t xml:space="preserve"> заявки </w:t>
      </w:r>
      <w:r>
        <w:rPr>
          <w:b/>
          <w:bCs/>
          <w:color w:val="000000"/>
          <w:sz w:val="28"/>
          <w:szCs w:val="28"/>
          <w:lang w:val="ru-RU"/>
        </w:rPr>
        <w:t>—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отложено </w:t>
      </w:r>
      <w:r>
        <w:rPr>
          <w:sz w:val="28"/>
          <w:szCs w:val="28"/>
          <w:lang w:val="ru-RU"/>
        </w:rPr>
        <w:t>(ожидание предоставления от Заявителя недостающих документов);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ru-RU"/>
        </w:rPr>
        <w:t xml:space="preserve">• </w:t>
      </w:r>
      <w:r>
        <w:rPr>
          <w:rFonts w:eastAsia="Times New Roman"/>
          <w:b/>
          <w:bCs/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 xml:space="preserve">заявки </w:t>
      </w:r>
      <w:r>
        <w:rPr>
          <w:b/>
          <w:bCs/>
          <w:color w:val="000000"/>
          <w:sz w:val="28"/>
          <w:szCs w:val="28"/>
          <w:lang w:val="ru-RU"/>
        </w:rPr>
        <w:t>—</w:t>
      </w:r>
      <w:r>
        <w:rPr>
          <w:b/>
          <w:bCs/>
          <w:sz w:val="28"/>
          <w:szCs w:val="28"/>
          <w:lang w:val="ru-RU"/>
        </w:rPr>
        <w:t xml:space="preserve"> з</w:t>
      </w:r>
      <w:r>
        <w:rPr>
          <w:bCs/>
          <w:sz w:val="28"/>
          <w:szCs w:val="28"/>
          <w:lang w:val="ru-RU"/>
        </w:rPr>
        <w:t>арегистрировано;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ru-RU"/>
        </w:rPr>
        <w:t xml:space="preserve">• </w:t>
      </w:r>
      <w:r>
        <w:rPr>
          <w:rFonts w:eastAsia="Times New Roman"/>
          <w:b/>
          <w:bCs/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 xml:space="preserve">заявок </w:t>
      </w:r>
      <w:r>
        <w:rPr>
          <w:b/>
          <w:bCs/>
          <w:color w:val="000000"/>
          <w:sz w:val="28"/>
          <w:szCs w:val="28"/>
          <w:lang w:val="ru-RU"/>
        </w:rPr>
        <w:t>—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находятся на стадии проверки комплектности документов;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ru-RU"/>
        </w:rPr>
        <w:t xml:space="preserve">• </w:t>
      </w:r>
      <w:r>
        <w:rPr>
          <w:rFonts w:eastAsia="Times New Roman"/>
          <w:b/>
          <w:bCs/>
          <w:sz w:val="28"/>
          <w:szCs w:val="28"/>
          <w:lang w:val="ru-RU"/>
        </w:rPr>
        <w:t>1 618</w:t>
      </w:r>
      <w:r>
        <w:rPr>
          <w:b/>
          <w:bCs/>
          <w:sz w:val="28"/>
          <w:szCs w:val="28"/>
          <w:lang w:val="ru-RU"/>
        </w:rPr>
        <w:t xml:space="preserve"> заявки </w:t>
      </w:r>
      <w:r>
        <w:rPr>
          <w:b/>
          <w:bCs/>
          <w:color w:val="000000"/>
          <w:sz w:val="28"/>
          <w:szCs w:val="28"/>
          <w:lang w:val="ru-RU"/>
        </w:rPr>
        <w:t>—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находятся на стадии п</w:t>
      </w:r>
      <w:r>
        <w:rPr>
          <w:sz w:val="28"/>
          <w:szCs w:val="28"/>
          <w:lang w:val="ru-RU"/>
        </w:rPr>
        <w:t>одготовки технических условий и заключения договора технологического присоединения, из них:</w:t>
      </w:r>
      <w:r>
        <w:rPr>
          <w:bCs/>
          <w:sz w:val="28"/>
          <w:szCs w:val="28"/>
          <w:lang w:val="ru-RU"/>
        </w:rPr>
        <w:t xml:space="preserve"> 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bCs/>
          <w:color w:val="212121"/>
          <w:sz w:val="28"/>
          <w:szCs w:val="28"/>
          <w:lang w:val="ru-RU"/>
        </w:rPr>
        <w:t>174 -</w:t>
      </w:r>
      <w:r>
        <w:rPr>
          <w:color w:val="212121"/>
          <w:sz w:val="28"/>
          <w:szCs w:val="28"/>
          <w:lang w:val="ru-RU"/>
        </w:rPr>
        <w:t xml:space="preserve"> договор на подписании у заявителя;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bCs/>
          <w:color w:val="212121"/>
          <w:sz w:val="28"/>
          <w:szCs w:val="28"/>
          <w:lang w:val="ru-RU"/>
        </w:rPr>
        <w:t>572 - в стадии</w:t>
      </w:r>
      <w:r>
        <w:rPr>
          <w:color w:val="212121"/>
          <w:sz w:val="28"/>
          <w:szCs w:val="28"/>
          <w:lang w:val="ru-RU"/>
        </w:rPr>
        <w:t xml:space="preserve"> подготовки проекта договора;</w:t>
      </w:r>
    </w:p>
    <w:p>
      <w:pPr>
        <w:pStyle w:val="NormalWeb"/>
        <w:spacing w:lineRule="auto" w:line="276" w:before="100" w:after="0"/>
        <w:jc w:val="both"/>
        <w:rPr>
          <w:sz w:val="28"/>
          <w:szCs w:val="28"/>
        </w:rPr>
      </w:pPr>
      <w:r>
        <w:rPr>
          <w:bCs/>
          <w:color w:val="212121"/>
          <w:sz w:val="28"/>
          <w:szCs w:val="28"/>
          <w:lang w:val="ru-RU"/>
        </w:rPr>
        <w:t>872 -</w:t>
      </w:r>
      <w:r>
        <w:rPr>
          <w:color w:val="212121"/>
          <w:sz w:val="28"/>
          <w:szCs w:val="28"/>
          <w:lang w:val="ru-RU"/>
        </w:rPr>
        <w:t xml:space="preserve"> </w:t>
      </w:r>
      <w:r>
        <w:rPr>
          <w:bCs/>
          <w:color w:val="212121"/>
          <w:sz w:val="28"/>
          <w:szCs w:val="28"/>
          <w:lang w:val="ru-RU"/>
        </w:rPr>
        <w:t>в стадии</w:t>
      </w:r>
      <w:r>
        <w:rPr>
          <w:color w:val="212121"/>
          <w:sz w:val="28"/>
          <w:szCs w:val="28"/>
          <w:lang w:val="ru-RU"/>
        </w:rPr>
        <w:t xml:space="preserve"> подготовки технических условий.</w:t>
      </w:r>
    </w:p>
    <w:p>
      <w:pPr>
        <w:pStyle w:val="Standard"/>
        <w:widowControl/>
        <w:tabs>
          <w:tab w:val="clear" w:pos="706"/>
          <w:tab w:val="left" w:pos="0" w:leader="none"/>
        </w:tabs>
        <w:spacing w:lineRule="auto" w:line="276" w:before="100" w:after="0"/>
        <w:ind w:firstLine="708"/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  <w:rPr>
        <w:sz w:val="28"/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Cs w:val="24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00000A"/>
      <w:kern w:val="0"/>
      <w:sz w:val="24"/>
      <w:szCs w:val="24"/>
      <w:lang w:val="en-US" w:eastAsia="en-US" w:bidi="en-US"/>
    </w:rPr>
  </w:style>
  <w:style w:type="paragraph" w:styleId="Heading1">
    <w:name w:val="heading 1"/>
    <w:basedOn w:val="Style10"/>
    <w:qFormat/>
    <w:pPr>
      <w:outlineLvl w:val="0"/>
    </w:pPr>
    <w:rPr>
      <w:b/>
      <w:bCs/>
    </w:rPr>
  </w:style>
  <w:style w:type="paragraph" w:styleId="Heading2">
    <w:name w:val="heading 2"/>
    <w:basedOn w:val="Style10"/>
    <w:qFormat/>
    <w:pPr>
      <w:spacing w:before="200" w:after="120"/>
      <w:outlineLvl w:val="1"/>
    </w:pPr>
    <w:rPr>
      <w:rFonts w:ascii="Liberation Serif" w:hAnsi="Liberation Serif" w:eastAsia="Segoe UI"/>
      <w:b/>
      <w:bCs/>
      <w:sz w:val="36"/>
      <w:szCs w:val="36"/>
    </w:rPr>
  </w:style>
  <w:style w:type="paragraph" w:styleId="Heading3">
    <w:name w:val="heading 3"/>
    <w:basedOn w:val="Style10"/>
    <w:qFormat/>
    <w:pPr>
      <w:spacing w:before="140" w:after="120"/>
      <w:outlineLvl w:val="2"/>
    </w:pPr>
    <w:rPr>
      <w:rFonts w:ascii="Liberation Serif" w:hAnsi="Liberation Serif" w:eastAsia="Segoe UI"/>
      <w:b/>
      <w:bCs/>
    </w:rPr>
  </w:style>
  <w:style w:type="paragraph" w:styleId="Heading4">
    <w:name w:val="heading 4"/>
    <w:basedOn w:val="Style10"/>
    <w:qFormat/>
    <w:pPr>
      <w:spacing w:before="120" w:after="120"/>
      <w:outlineLvl w:val="3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5z0" w:customStyle="1">
    <w:name w:val="WW8Num5z0"/>
    <w:qFormat/>
    <w:rPr>
      <w:rFonts w:ascii="Symbol" w:hAnsi="Symbol" w:cs="Symbol"/>
      <w:color w:val="000000"/>
      <w:sz w:val="20"/>
      <w:szCs w:val="28"/>
    </w:rPr>
  </w:style>
  <w:style w:type="character" w:styleId="WW8Num5z1" w:customStyle="1">
    <w:name w:val="WW8Num5z1"/>
    <w:qFormat/>
    <w:rPr>
      <w:rFonts w:ascii="Courier New" w:hAnsi="Courier New" w:cs="Courier New"/>
      <w:sz w:val="20"/>
    </w:rPr>
  </w:style>
  <w:style w:type="character" w:styleId="WW8Num5z2" w:customStyle="1">
    <w:name w:val="WW8Num5z2"/>
    <w:qFormat/>
    <w:rPr>
      <w:rFonts w:ascii="Wingdings" w:hAnsi="Wingdings" w:cs="Wingdings"/>
      <w:sz w:val="20"/>
    </w:rPr>
  </w:style>
  <w:style w:type="character" w:styleId="WW8Num4z0" w:customStyle="1">
    <w:name w:val="WW8Num4z0"/>
    <w:qFormat/>
    <w:rPr>
      <w:rFonts w:ascii="Symbol" w:hAnsi="Symbol" w:cs="Symbol"/>
      <w:sz w:val="20"/>
    </w:rPr>
  </w:style>
  <w:style w:type="character" w:styleId="WW8Num4z1" w:customStyle="1">
    <w:name w:val="WW8Num4z1"/>
    <w:qFormat/>
    <w:rPr>
      <w:rFonts w:ascii="Courier New" w:hAnsi="Courier New" w:cs="Courier New"/>
      <w:sz w:val="20"/>
    </w:rPr>
  </w:style>
  <w:style w:type="character" w:styleId="WW8Num4z2" w:customStyle="1">
    <w:name w:val="WW8Num4z2"/>
    <w:qFormat/>
    <w:rPr>
      <w:rFonts w:ascii="Wingdings" w:hAnsi="Wingdings" w:cs="Wingdings"/>
      <w:sz w:val="20"/>
    </w:rPr>
  </w:style>
  <w:style w:type="character" w:styleId="Strong">
    <w:name w:val="Strong"/>
    <w:qFormat/>
    <w:rPr>
      <w:b/>
      <w:bCs/>
    </w:rPr>
  </w:style>
  <w:style w:type="character" w:styleId="CITE">
    <w:name w:val="CITE"/>
    <w:qFormat/>
    <w:rPr>
      <w:i/>
    </w:rPr>
  </w:style>
  <w:style w:type="character" w:styleId="CODE">
    <w:name w:val="CODE"/>
    <w:qFormat/>
    <w:rPr>
      <w:rFonts w:ascii="Courier New" w:hAnsi="Courier New"/>
      <w:sz w:val="20"/>
    </w:rPr>
  </w:style>
  <w:style w:type="character" w:styleId="Keyboard">
    <w:name w:val="Keyboard"/>
    <w:qFormat/>
    <w:rPr>
      <w:rFonts w:ascii="Courier New" w:hAnsi="Courier New"/>
      <w:b/>
      <w:sz w:val="20"/>
    </w:rPr>
  </w:style>
  <w:style w:type="character" w:styleId="Sample">
    <w:name w:val="Sample"/>
    <w:qFormat/>
    <w:rPr>
      <w:rFonts w:ascii="Courier New" w:hAnsi="Courier New"/>
    </w:rPr>
  </w:style>
  <w:style w:type="character" w:styleId="Typewriter">
    <w:name w:val="Typewriter"/>
    <w:qFormat/>
    <w:rPr>
      <w:rFonts w:ascii="Courier New" w:hAnsi="Courier New"/>
      <w:sz w:val="20"/>
    </w:rPr>
  </w:style>
  <w:style w:type="character" w:styleId="HTMLMarkup">
    <w:name w:val="HTML Markup"/>
    <w:qFormat/>
    <w:rPr>
      <w:vanish/>
      <w:color w:val="FF0000"/>
    </w:rPr>
  </w:style>
  <w:style w:type="character" w:styleId="Comment">
    <w:name w:val="Comment"/>
    <w:qFormat/>
    <w:rPr>
      <w:vanish/>
    </w:rPr>
  </w:style>
  <w:style w:type="character" w:styleId="6">
    <w:name w:val="Основной шрифт абзаца6"/>
    <w:qFormat/>
    <w:rPr/>
  </w:style>
  <w:style w:type="character" w:styleId="2">
    <w:name w:val="Основной шрифт абзаца2"/>
    <w:qFormat/>
    <w:rPr/>
  </w:style>
  <w:style w:type="paragraph" w:styleId="Style10" w:customStyle="1">
    <w:name w:val="Заголовок"/>
    <w:basedOn w:val="Normal"/>
    <w:next w:val="BodyText"/>
    <w:qFormat/>
    <w:pPr>
      <w:keepNext w:val="true"/>
      <w:widowControl w:val="false"/>
      <w:bidi w:val="0"/>
      <w:spacing w:before="240" w:after="120"/>
      <w:jc w:val="left"/>
      <w:textAlignment w:val="baseline"/>
    </w:pPr>
    <w:rPr>
      <w:rFonts w:ascii="Arial" w:hAnsi="Arial" w:eastAsia="Andale Sans UI" w:cs="Tahoma"/>
      <w:color w:val="00000A"/>
      <w:sz w:val="28"/>
      <w:szCs w:val="28"/>
      <w:lang w:val="en-US" w:eastAsia="en-US" w:bidi="en-US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>
      <w:widowControl w:val="false"/>
      <w:bidi w:val="0"/>
      <w:jc w:val="left"/>
      <w:textAlignment w:val="baseline"/>
    </w:pPr>
    <w:rPr>
      <w:rFonts w:ascii="Times New Roman" w:hAnsi="Times New Roman" w:eastAsia="Andale Sans UI" w:cs="Tahoma"/>
      <w:color w:val="00000A"/>
      <w:sz w:val="24"/>
      <w:szCs w:val="24"/>
      <w:lang w:val="en-US" w:eastAsia="en-US" w:bidi="en-U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Style11" w:customStyle="1">
    <w:name w:val="Указатель"/>
    <w:basedOn w:val="Normal"/>
    <w:qFormat/>
    <w:pPr>
      <w:widowControl w:val="false"/>
      <w:suppressLineNumbers/>
      <w:bidi w:val="0"/>
      <w:jc w:val="left"/>
      <w:textAlignment w:val="baseline"/>
    </w:pPr>
    <w:rPr>
      <w:rFonts w:ascii="Times New Roman" w:hAnsi="Times New Roman" w:eastAsia="Andale Sans UI" w:cs="Tahoma"/>
      <w:color w:val="00000A"/>
      <w:sz w:val="24"/>
      <w:szCs w:val="24"/>
      <w:lang w:val="en-US" w:eastAsia="en-US" w:bidi="en-U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00000A"/>
      <w:kern w:val="0"/>
      <w:sz w:val="24"/>
      <w:szCs w:val="24"/>
      <w:lang w:val="en-US" w:eastAsia="en-US" w:bidi="en-US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NormalWeb">
    <w:name w:val="Normal (Web)"/>
    <w:basedOn w:val="Standard"/>
    <w:qFormat/>
    <w:pPr>
      <w:spacing w:before="100" w:after="142"/>
    </w:pPr>
    <w:rPr>
      <w:rFonts w:eastAsia="Calibri" w:cs="Times New Roman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00000A"/>
      <w:kern w:val="0"/>
      <w:sz w:val="20"/>
      <w:szCs w:val="20"/>
      <w:lang w:val="ru-RU" w:eastAsia="ru-RU" w:bidi="en-US"/>
    </w:rPr>
  </w:style>
  <w:style w:type="paragraph" w:styleId="Style12">
    <w:name w:val="Обычный (веб)"/>
    <w:basedOn w:val="Normal"/>
    <w:qFormat/>
    <w:pPr>
      <w:widowControl/>
      <w:suppressAutoHyphens w:val="false"/>
      <w:spacing w:before="100" w:after="119"/>
    </w:pPr>
    <w:rPr>
      <w:rFonts w:eastAsia="Times New Roman" w:cs="Times New Roman"/>
      <w:color w:val="000000"/>
      <w:lang w:val="ru-RU" w:bidi="ar-SA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00000A"/>
      <w:kern w:val="0"/>
      <w:sz w:val="24"/>
      <w:szCs w:val="24"/>
      <w:lang w:val="en-US" w:eastAsia="en-US" w:bidi="en-US"/>
    </w:rPr>
  </w:style>
  <w:style w:type="paragraph" w:styleId="Textbody1">
    <w:name w:val="Text body1"/>
    <w:basedOn w:val="Standard1"/>
    <w:qFormat/>
    <w:pPr>
      <w:widowControl/>
      <w:suppressAutoHyphens w:val="true"/>
      <w:spacing w:before="0" w:after="120"/>
      <w:jc w:val="left"/>
      <w:textAlignment w:val="baseline"/>
    </w:pPr>
    <w:rPr>
      <w:rFonts w:ascii="Times New Roman" w:hAnsi="Times New Roman" w:eastAsia="Andale Sans UI" w:cs="Tahoma"/>
      <w:color w:val="00000A"/>
      <w:sz w:val="24"/>
      <w:szCs w:val="24"/>
      <w:lang w:val="en-US" w:eastAsia="en-US"/>
    </w:rPr>
  </w:style>
  <w:style w:type="numbering" w:styleId="Style13" w:default="1">
    <w:name w:val="Без списка"/>
    <w:uiPriority w:val="99"/>
    <w:semiHidden/>
    <w:unhideWhenUsed/>
    <w:qFormat/>
  </w:style>
  <w:style w:type="numbering" w:styleId="WW8Num5" w:customStyle="1">
    <w:name w:val="WW8Num5"/>
    <w:qFormat/>
  </w:style>
  <w:style w:type="numbering" w:styleId="WW8Num4" w:customStyle="1">
    <w:name w:val="WW8Num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Application>LibreOffice/24.8.5.2$Windows_X86_64 LibreOffice_project/fddf2685c70b461e7832239a0162a77216259f22</Application>
  <AppVersion>15.0000</AppVersion>
  <Pages>7</Pages>
  <Words>1793</Words>
  <Characters>13357</Characters>
  <CharactersWithSpaces>15207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2023-05-11T10:39:00Z</dcterms:created>
  <dc:creator>Пользователь</dc:creator>
  <dc:description/>
  <dc:language>ru-RU</dc:language>
  <cp:lastModifiedBy/>
  <cp:lastPrinted>2026-08-26T16:01:53Z</cp:lastPrinted>
  <dcterms:modified xsi:type="dcterms:W3CDTF">2026-09-01T15:48:19Z</dcterms:modified>
  <cp:revision>122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1</vt:bool>
  </property>
  <property fmtid="{D5CDD505-2E9C-101B-9397-08002B2CF9AE}" pid="4" name="HyperlinksChanged">
    <vt:bool>0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